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43"/>
          <w:szCs w:val="43"/>
          <w:b w:val="1"/>
          <w:bCs w:val="1"/>
          <w:color w:val="auto"/>
        </w:rPr>
        <w:t>Noah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207010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No.1226, South Shenbin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 (21) 8035-8292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80"/>
        <w:spacing w:after="0" w:line="207" w:lineRule="exact"/>
        <w:tabs>
          <w:tab w:leader="none" w:pos="60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0" w:type="dxa"/>
            <w:vAlign w:val="bottom"/>
            <w:gridSpan w:val="2"/>
          </w:tcPr>
          <w:p>
            <w:pPr>
              <w:ind w:left="2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Exhibit 99.1</w:t>
            </w:r>
          </w:p>
        </w:tc>
        <w:tc>
          <w:tcPr>
            <w:tcW w:w="340" w:type="dxa"/>
            <w:vAlign w:val="bottom"/>
          </w:tcPr>
          <w:p>
            <w:pPr>
              <w:spacing w:after="0"/>
              <w:rPr>
                <w:sz w:val="24"/>
                <w:szCs w:val="24"/>
                <w:color w:val="auto"/>
              </w:rPr>
            </w:pPr>
          </w:p>
        </w:tc>
        <w:tc>
          <w:tcPr>
            <w:tcW w:w="100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7"/>
              </w:rPr>
              <w:t>Press Release</w:t>
            </w:r>
          </w:p>
        </w:tc>
        <w:tc>
          <w:tcPr>
            <w:tcW w:w="9000" w:type="dxa"/>
            <w:vAlign w:val="bottom"/>
            <w:gridSpan w:val="2"/>
          </w:tcPr>
          <w:p>
            <w:pPr>
              <w:spacing w:after="0"/>
              <w:rPr>
                <w:sz w:val="24"/>
                <w:szCs w:val="24"/>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99.2</w:t>
            </w:r>
          </w:p>
        </w:tc>
        <w:tc>
          <w:tcPr>
            <w:tcW w:w="34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Announcement - Change of Directors and Change in the Composition of Board Committees</w:t>
            </w:r>
          </w:p>
        </w:tc>
      </w:tr>
      <w:tr>
        <w:trPr>
          <w:trHeight w:val="696"/>
        </w:trPr>
        <w:tc>
          <w:tcPr>
            <w:tcW w:w="90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5640" w:type="dxa"/>
            <w:vAlign w:val="bottom"/>
            <w:tcBorders>
              <w:top w:val="single" w:sz="8" w:color="0000EE"/>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Qing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Qing Pan</w:t>
      </w:r>
    </w:p>
    <w:p>
      <w:pPr>
        <w:spacing w:after="0" w:line="23" w:lineRule="exact"/>
        <w:rPr>
          <w:sz w:val="20"/>
          <w:szCs w:val="20"/>
          <w:color w:val="auto"/>
        </w:rPr>
      </w:pPr>
    </w:p>
    <w:p>
      <w:pPr>
        <w:ind w:left="596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A0A0A"/>
        </w:rPr>
        <w:t>Noah Holdings Limited Announces Changes to its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A0A0A"/>
        </w:rPr>
        <w:t>SHANGHAI, July 1, 2024 /PRNewswire/ -- Noah Holdings Limited ("Noah" or the "Company") (NYSE: NOAH and HKEX: 6686), a leading and pioneer wealth management service provider offering comprehensive one-stop advisory services on global investment and asset allocation primarily for Mandarin-speaking high-net-worth investors, today announced changes to its Board of Directors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A0A0A"/>
        </w:rPr>
        <w:t xml:space="preserve">Noah has appointed Mr. David Zhang as an Independent Director (non-executive Director according to the Rules Governing the Listing of Securities on The Stock Exchange of Hong Kong Limited) and Ms. Xiangrong Li as an Independent Director of the Board, effective from June 30, 2024. With effect from the same day, Dr. Zhiwu Chen has retired from his position as an Independent Director and Mr. Jinbo Yao has resigned as an Independent Director after ten and nine years of service, respectively. Neither’s departure resulted from any disagreement with the Company and the Board </w:t>
      </w:r>
      <w:r>
        <w:rPr>
          <w:rFonts w:ascii="Times New Roman" w:cs="Times New Roman" w:eastAsia="Times New Roman" w:hAnsi="Times New Roman"/>
          <w:sz w:val="18"/>
          <w:szCs w:val="18"/>
          <w:color w:val="000000"/>
        </w:rPr>
        <w:t>expresses its sincere</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 xml:space="preserve">gratitude </w:t>
      </w:r>
      <w:r>
        <w:rPr>
          <w:rFonts w:ascii="Times New Roman" w:cs="Times New Roman" w:eastAsia="Times New Roman" w:hAnsi="Times New Roman"/>
          <w:sz w:val="18"/>
          <w:szCs w:val="18"/>
          <w:color w:val="0A0A0A"/>
        </w:rPr>
        <w:t>for their invaluable contribution during their tenures.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0A0A0A"/>
        </w:rPr>
        <w:t xml:space="preserve">Ms. Li has been appointed as the Chairwoman and Mr. Zhang as a member of the Audit Committee of the Board, joining Ms. Cynthia Jinhong Meng. The Board is confident that Ms. Li and Mr. Zhang’s financial and legal expertise will significantly enhance the Audit Committee’s capabilities, ensuring it continues to play a pivotal role in upholding the Company’s governance standards and strengthening the quality of its financial operations. Concurrently, Ms. May Yihong Wu has stepped down as a member of the Audit Committee but will maintain her positions as an Independent Director, the </w:t>
      </w:r>
      <w:r>
        <w:rPr>
          <w:rFonts w:ascii="Times New Roman" w:cs="Times New Roman" w:eastAsia="Times New Roman" w:hAnsi="Times New Roman"/>
          <w:sz w:val="18"/>
          <w:szCs w:val="18"/>
          <w:color w:val="000000"/>
        </w:rPr>
        <w:t>Chairwoman</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 xml:space="preserve">of the Compensation Committee and a member of the Corporate Governance and Nominating Committee of the Board. </w:t>
      </w:r>
      <w:r>
        <w:rPr>
          <w:rFonts w:ascii="Times New Roman" w:cs="Times New Roman" w:eastAsia="Times New Roman" w:hAnsi="Times New Roman"/>
          <w:sz w:val="18"/>
          <w:szCs w:val="18"/>
          <w:color w:val="0A0A0A"/>
        </w:rPr>
        <w:t>Additionally, Ms. Cynthia Jinhong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A0A0A"/>
        </w:rPr>
        <w:t xml:space="preserve">Meng, Independent Director, has been appointed as a member of the Corporate Governance and Nominating Committee </w:t>
      </w:r>
      <w:r>
        <w:rPr>
          <w:rFonts w:ascii="Times New Roman" w:cs="Times New Roman" w:eastAsia="Times New Roman" w:hAnsi="Times New Roman"/>
          <w:sz w:val="18"/>
          <w:szCs w:val="18"/>
          <w:color w:val="000000"/>
        </w:rPr>
        <w:t>of the Board</w:t>
      </w:r>
      <w:r>
        <w:rPr>
          <w:rFonts w:ascii="Times New Roman" w:cs="Times New Roman" w:eastAsia="Times New Roman" w:hAnsi="Times New Roman"/>
          <w:sz w:val="18"/>
          <w:szCs w:val="18"/>
          <w:color w:val="0A0A0A"/>
        </w:rPr>
        <w:t>, effective from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-965200</wp:posOffset>
            </wp:positionV>
            <wp:extent cx="7132320" cy="960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Zhang has extensive legal experience in securities offerings and mergers &amp; acquisitions, particularly representing Chinese issuers and leading investment banks in US and Hong Kong initial public offerings. He served as a senior corporate partner at Kirkland &amp; Ellis International LLP from 2011 to 2024 and as a partner at Latham &amp; Watkins LLP from 2003 to 2011. Mr. Zhang has served as a member of the board of Tulane University since 2023 and an independent director of Fosun International Limited (HKEX: 0656) since 2012. He graduated from Beijing Foreign Studies University with his bachelor’s degree in 1981 and received his juris doctor degree from Tulane University Law School in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0A0A0A"/>
        </w:rPr>
        <w:t xml:space="preserve">Ms. Li possesses extensive experience in accounting and financial management. She currently serves as the deputy general manager and financial controller of Beijing Tourist Hotel (Group) Co. (SSE: 600258) since 2016. From 2014 to 2016, Ms. Li served as chief financial officer of then NASDAQ-listed Homeinns Hotel Group before its merger with Beijing Tourist Hotel (Group) Co in 2016. Prior to that, she served as chief financial officer of Hengdeli Holdings Ltd. (HKSE: 3389) from 2010 to 2014. From 1993 to 2010, she held various positions at Unilever including serving as financial controller for the greater China region between 2007 and 2010. Ms. Li has been serving as an independent non-executive director of Viva Biotech Holdings (HKSE: 1873) since </w:t>
      </w:r>
      <w:r>
        <w:rPr>
          <w:rFonts w:ascii="Times New Roman" w:cs="Times New Roman" w:eastAsia="Times New Roman" w:hAnsi="Times New Roman"/>
          <w:sz w:val="18"/>
          <w:szCs w:val="18"/>
          <w:color w:val="000000"/>
        </w:rPr>
        <w:t>2019 and</w:t>
      </w:r>
      <w:r>
        <w:rPr>
          <w:rFonts w:ascii="Times New Roman" w:cs="Times New Roman" w:eastAsia="Times New Roman" w:hAnsi="Times New Roman"/>
          <w:sz w:val="18"/>
          <w:szCs w:val="18"/>
          <w:color w:val="0A0A0A"/>
        </w:rPr>
        <w:t xml:space="preserve"> served as an independent director of MakeMyTrip Limited (NASDAQ: MMYT) from 2019 to 2024. She received her bachelor’s degree in international accounting jointly awarded by the Shanghai University of Finance and Economics and Shanghai International Studies University in 1993, and her master’s degree in executive management business administration from the China Europe International Business School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-1100455</wp:posOffset>
            </wp:positionV>
            <wp:extent cx="7132320" cy="1097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0A0A0A"/>
        </w:rPr>
        <w:t>Ms. Jingbo Wang, co-founder and chairwoman of Noah, commented “I would like to express my sincere gratitude to Dr. Chen and Mr. Yao for their contributions to Noah over the past decade where their dedication and guidance was instrumental in getting us to where we are today. I wish them all the best in their future endeavours. I’d also like to extend a warm welcome to both Mr. Zhang and Ms. Li where I am confident their extensive financial, corporate and legal experience will prove invaluable in shaping our future strategic direction. Rotating directors not only infuses our Board with fresh perspectives and diverse expertise, but also highlights our commitment to upholding the highest standards of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A0A0A"/>
        </w:rPr>
        <w:t>ABOUT NOAH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A0A0A"/>
        </w:rPr>
        <w:t>Noah Holdings Limited (NYSE: NOAH and HKEX: 6686) is a leading and pioneer wealth management service provider offering comprehensive one-stop advisory services on global investment and asset allocation primarily for Mandarin-speaking high-net-worth investors. In 2024 Q1, Noah distributed RMB18.9 billion (US$2.6 billion) of investment products. Through Gopher Asset Management, Noah had assets under management of RMB153.3 billion (US$21.2 billion)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0A0A0A"/>
        </w:rPr>
        <w:t>Noah's wealth management business primarily distributes private equity, private secondary, mutual funds, and other products denominated in RMB and other currencies. Noah's network covers major cities in mainland China, as well as Hong Kong (China), New York, Silicon Valley, Singapore, and Los Angeles. A total number of 1,109 relationship managers across 18 cities provide customized financial solutions for clients through this network and meet their investment needs. The Company's wealth management business had 457,705 registered clients as of March 31, 2024. Through Gopher Asset Management, Noah manages private equity, public securities, real estate, multi-strategy, and other investments denominated in Renminbi and other currencies. Noah also provides other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822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 xml:space="preserve">For more information, please visit Noah at </w:t>
      </w:r>
      <w:r>
        <w:rPr>
          <w:rFonts w:ascii="Times New Roman" w:cs="Times New Roman" w:eastAsia="Times New Roman" w:hAnsi="Times New Roman"/>
          <w:sz w:val="18"/>
          <w:szCs w:val="18"/>
          <w:u w:val="single" w:color="auto"/>
          <w:color w:val="000000"/>
        </w:rPr>
        <w:t>ir.noahgroup.com</w:t>
      </w:r>
      <w:r>
        <w:rPr>
          <w:rFonts w:ascii="Times New Roman" w:cs="Times New Roman" w:eastAsia="Times New Roman" w:hAnsi="Times New Roman"/>
          <w:sz w:val="18"/>
          <w:szCs w:val="18"/>
          <w:color w:val="0A0A0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A0A0A"/>
        </w:rPr>
        <w:t>SAFE HARBOR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0A0A0A"/>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Noah may also make written or oral forward-looking statements in its periodic reports to the U.S. Securities and Exchange Commission, in its annual reports to shareholders, in announcements, circulars or other publications made on the website of The Stock Exchange of Hong Kong Limited (the "Hong Kong Stock Exchange"), in press releases and other written materials and in oral statements made by its officers, directors or employees to third parties. Statements that are not historical facts, including statements about Noah's beliefs and expectations, are forward-looking statements. Forward-looking statements involve inherent risks and uncertainties. These statements include, but are not limited to, estimates regarding the sufficiency of Noah's cash and cash equivalents and liquidity risk. A number of factors could cause Noah's actual results to differ materially from those contained in any forward-looking statement, including but not limited to the following: its goals and strategies; its future business development, financial condition and results of operations; the expected growth of the wealth management and asset management market in China and internationally; its expectations regarding demand for and market acceptance of the products it distributes; investment risks associated with investment products distributed to Noah's investors, including the risk of default by counterparties or loss of value due to market or business conditions or misconduct by counterparties; its expectations regarding keeping and strengthening its relationships with key clients; relevant government policies and regulations relating to its industries; its ability to attract and retain qualified employees; its ability to stay abreast of market trends and technological advances; its plans to invest in research and development to enhance its product choices and service offerings; competition in its industries in China and internationally; general economic and business conditions globally and in China; and its ability to effectively protect its intellectual property rights and not to infringe on the intellectual property rights of others. Further information regarding these and other risks is included in Noah's filings with the U.S. Securities and Exchange Commission and the Hong Kong Stock Exchange. All information provided in this press release and in the attachments is as of the date of this press release, and Noah does not undertake any obligation to update any such information, including forward-looking statements, as a result of new information, future events or otherwise, except as required under the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-2747645</wp:posOffset>
            </wp:positionV>
            <wp:extent cx="7132320" cy="2743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74320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Noah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Melo Xi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+86-21-8035-8292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ir@noahgroup.com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916"/>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916"/>
        </w:rPr>
        <w:t>Noah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916"/>
        </w:rPr>
        <w:t>Noah Holdings Private Wealth and Asset Management Limited</w:t>
      </w:r>
    </w:p>
    <w:p>
      <w:pPr>
        <w:spacing w:after="0" w:line="11"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color w:val="auto"/>
        </w:rPr>
        <w:t>諾亞控股私人財富資產管理有限公司</w:t>
      </w:r>
    </w:p>
    <w:p>
      <w:pPr>
        <w:spacing w:after="0" w:line="9" w:lineRule="exact"/>
        <w:rPr>
          <w:sz w:val="20"/>
          <w:szCs w:val="20"/>
          <w:color w:val="auto"/>
        </w:rPr>
      </w:pPr>
    </w:p>
    <w:p>
      <w:pPr>
        <w:jc w:val="both"/>
        <w:ind w:left="1920" w:right="1920" w:firstLine="7"/>
        <w:spacing w:after="0" w:line="274" w:lineRule="auto"/>
        <w:rPr>
          <w:sz w:val="20"/>
          <w:szCs w:val="20"/>
          <w:color w:val="auto"/>
        </w:rPr>
      </w:pPr>
      <w:r>
        <w:rPr>
          <w:rFonts w:ascii="Times New Roman" w:cs="Times New Roman" w:eastAsia="Times New Roman" w:hAnsi="Times New Roman"/>
          <w:sz w:val="17"/>
          <w:szCs w:val="17"/>
          <w:i w:val="1"/>
          <w:iCs w:val="1"/>
          <w:color w:val="231916"/>
        </w:rPr>
        <w:t>(Incorporated in the Cayman Islands with limited liability under the name Noah Holdings Limited and carrying on business in Hong Kong as Noah Holdings Private Wealth and Asset Management Limited)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916"/>
        </w:rPr>
        <w:t>(Stock Code: 6686)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916"/>
        </w:rPr>
        <w:t>CHANGE OF DIRECTORS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916"/>
        </w:rPr>
        <w:t>CHANGE IN THE COMPOSITION OF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27875" cy="2841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284162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color w:val="231916"/>
        </w:rPr>
        <w:t>The board (the “</w:t>
      </w:r>
      <w:r>
        <w:rPr>
          <w:rFonts w:ascii="Times New Roman" w:cs="Times New Roman" w:eastAsia="Times New Roman" w:hAnsi="Times New Roman"/>
          <w:sz w:val="18"/>
          <w:szCs w:val="18"/>
          <w:b w:val="1"/>
          <w:bCs w:val="1"/>
          <w:color w:val="231916"/>
        </w:rPr>
        <w:t>Board</w:t>
      </w:r>
      <w:r>
        <w:rPr>
          <w:rFonts w:ascii="Times New Roman" w:cs="Times New Roman" w:eastAsia="Times New Roman" w:hAnsi="Times New Roman"/>
          <w:sz w:val="18"/>
          <w:szCs w:val="18"/>
          <w:color w:val="231916"/>
        </w:rPr>
        <w:t>”) of directors (the “</w:t>
      </w:r>
      <w:r>
        <w:rPr>
          <w:rFonts w:ascii="Times New Roman" w:cs="Times New Roman" w:eastAsia="Times New Roman" w:hAnsi="Times New Roman"/>
          <w:sz w:val="18"/>
          <w:szCs w:val="18"/>
          <w:b w:val="1"/>
          <w:bCs w:val="1"/>
          <w:color w:val="231916"/>
        </w:rPr>
        <w:t>Director(s)</w:t>
      </w:r>
      <w:r>
        <w:rPr>
          <w:rFonts w:ascii="Times New Roman" w:cs="Times New Roman" w:eastAsia="Times New Roman" w:hAnsi="Times New Roman"/>
          <w:sz w:val="18"/>
          <w:szCs w:val="18"/>
          <w:color w:val="231916"/>
        </w:rPr>
        <w:t>”) of Noah Holdings Private Wealth and Asset Management Limited (the “</w:t>
      </w:r>
      <w:r>
        <w:rPr>
          <w:rFonts w:ascii="Times New Roman" w:cs="Times New Roman" w:eastAsia="Times New Roman" w:hAnsi="Times New Roman"/>
          <w:sz w:val="18"/>
          <w:szCs w:val="18"/>
          <w:b w:val="1"/>
          <w:bCs w:val="1"/>
          <w:color w:val="231916"/>
        </w:rPr>
        <w:t>Company</w:t>
      </w:r>
      <w:r>
        <w:rPr>
          <w:rFonts w:ascii="Times New Roman" w:cs="Times New Roman" w:eastAsia="Times New Roman" w:hAnsi="Times New Roman"/>
          <w:sz w:val="18"/>
          <w:szCs w:val="18"/>
          <w:color w:val="231916"/>
        </w:rPr>
        <w:t>”) hereby announces that, with effect from June 30, 2024:</w:t>
      </w:r>
    </w:p>
    <w:p>
      <w:pPr>
        <w:spacing w:after="0" w:line="168" w:lineRule="exact"/>
        <w:rPr>
          <w:sz w:val="20"/>
          <w:szCs w:val="20"/>
          <w:color w:val="auto"/>
        </w:rPr>
      </w:pPr>
    </w:p>
    <w:p>
      <w:pPr>
        <w:ind w:left="520" w:right="120" w:hanging="404"/>
        <w:spacing w:after="0" w:line="234" w:lineRule="exact"/>
        <w:tabs>
          <w:tab w:leader="none" w:pos="520" w:val="left"/>
        </w:tabs>
        <w:numPr>
          <w:ilvl w:val="0"/>
          <w:numId w:val="1"/>
        </w:numPr>
        <w:rPr>
          <w:rFonts w:ascii="Times New Roman" w:cs="Times New Roman" w:eastAsia="Times New Roman" w:hAnsi="Times New Roman"/>
          <w:sz w:val="18"/>
          <w:szCs w:val="18"/>
          <w:color w:val="231916"/>
        </w:rPr>
      </w:pPr>
      <w:r>
        <w:rPr>
          <w:rFonts w:ascii="Times New Roman" w:cs="Times New Roman" w:eastAsia="Times New Roman" w:hAnsi="Times New Roman"/>
          <w:sz w:val="18"/>
          <w:szCs w:val="18"/>
          <w:color w:val="231916"/>
        </w:rPr>
        <w:t>Dr. Zhiwu Chen (</w:t>
      </w:r>
      <w:r>
        <w:rPr>
          <w:rFonts w:ascii="PMingLiU" w:cs="PMingLiU" w:eastAsia="PMingLiU" w:hAnsi="PMingLiU"/>
          <w:sz w:val="18"/>
          <w:szCs w:val="18"/>
          <w:color w:val="231916"/>
        </w:rPr>
        <w:t>陳志武</w:t>
      </w:r>
      <w:r>
        <w:rPr>
          <w:rFonts w:ascii="Times New Roman" w:cs="Times New Roman" w:eastAsia="Times New Roman" w:hAnsi="Times New Roman"/>
          <w:sz w:val="18"/>
          <w:szCs w:val="18"/>
          <w:color w:val="231916"/>
        </w:rPr>
        <w:t>) (“</w:t>
      </w:r>
      <w:r>
        <w:rPr>
          <w:rFonts w:ascii="Times New Roman" w:cs="Times New Roman" w:eastAsia="Times New Roman" w:hAnsi="Times New Roman"/>
          <w:sz w:val="18"/>
          <w:szCs w:val="18"/>
          <w:b w:val="1"/>
          <w:bCs w:val="1"/>
          <w:color w:val="231916"/>
        </w:rPr>
        <w:t>Dr. Chen</w:t>
      </w:r>
      <w:r>
        <w:rPr>
          <w:rFonts w:ascii="Times New Roman" w:cs="Times New Roman" w:eastAsia="Times New Roman" w:hAnsi="Times New Roman"/>
          <w:sz w:val="18"/>
          <w:szCs w:val="18"/>
          <w:color w:val="231916"/>
        </w:rPr>
        <w:t>”) has retired from the position as an independent Director upon the expiration of the independent director agreement entered into between him and the Company;</w:t>
      </w:r>
    </w:p>
    <w:p>
      <w:pPr>
        <w:spacing w:after="0" w:line="208" w:lineRule="exact"/>
        <w:rPr>
          <w:rFonts w:ascii="Times New Roman" w:cs="Times New Roman" w:eastAsia="Times New Roman" w:hAnsi="Times New Roman"/>
          <w:sz w:val="18"/>
          <w:szCs w:val="18"/>
          <w:color w:val="231916"/>
        </w:rPr>
      </w:pPr>
    </w:p>
    <w:p>
      <w:pPr>
        <w:ind w:left="520" w:right="120" w:hanging="404"/>
        <w:spacing w:after="0" w:line="234" w:lineRule="exact"/>
        <w:tabs>
          <w:tab w:leader="none" w:pos="520" w:val="left"/>
        </w:tabs>
        <w:numPr>
          <w:ilvl w:val="0"/>
          <w:numId w:val="1"/>
        </w:numPr>
        <w:rPr>
          <w:rFonts w:ascii="Times New Roman" w:cs="Times New Roman" w:eastAsia="Times New Roman" w:hAnsi="Times New Roman"/>
          <w:sz w:val="18"/>
          <w:szCs w:val="18"/>
          <w:color w:val="231916"/>
        </w:rPr>
      </w:pPr>
      <w:r>
        <w:rPr>
          <w:rFonts w:ascii="Times New Roman" w:cs="Times New Roman" w:eastAsia="Times New Roman" w:hAnsi="Times New Roman"/>
          <w:sz w:val="18"/>
          <w:szCs w:val="18"/>
          <w:color w:val="231916"/>
        </w:rPr>
        <w:t>Mr. Jinbo Yao (</w:t>
      </w:r>
      <w:r>
        <w:rPr>
          <w:rFonts w:ascii="PMingLiU" w:cs="PMingLiU" w:eastAsia="PMingLiU" w:hAnsi="PMingLiU"/>
          <w:sz w:val="18"/>
          <w:szCs w:val="18"/>
          <w:color w:val="231916"/>
        </w:rPr>
        <w:t>姚勁波</w:t>
      </w:r>
      <w:r>
        <w:rPr>
          <w:rFonts w:ascii="Times New Roman" w:cs="Times New Roman" w:eastAsia="Times New Roman" w:hAnsi="Times New Roman"/>
          <w:sz w:val="18"/>
          <w:szCs w:val="18"/>
          <w:color w:val="231916"/>
        </w:rPr>
        <w:t>) (“</w:t>
      </w:r>
      <w:r>
        <w:rPr>
          <w:rFonts w:ascii="Times New Roman" w:cs="Times New Roman" w:eastAsia="Times New Roman" w:hAnsi="Times New Roman"/>
          <w:sz w:val="18"/>
          <w:szCs w:val="18"/>
          <w:b w:val="1"/>
          <w:bCs w:val="1"/>
          <w:color w:val="231916"/>
        </w:rPr>
        <w:t>Mr. Yao</w:t>
      </w:r>
      <w:r>
        <w:rPr>
          <w:rFonts w:ascii="Times New Roman" w:cs="Times New Roman" w:eastAsia="Times New Roman" w:hAnsi="Times New Roman"/>
          <w:sz w:val="18"/>
          <w:szCs w:val="18"/>
          <w:color w:val="231916"/>
        </w:rPr>
        <w:t>”) has resigned from the position as an independent Director as he decided to devote more time to his other engagements;</w:t>
      </w:r>
    </w:p>
    <w:p>
      <w:pPr>
        <w:spacing w:after="0" w:line="208" w:lineRule="exact"/>
        <w:rPr>
          <w:rFonts w:ascii="Times New Roman" w:cs="Times New Roman" w:eastAsia="Times New Roman" w:hAnsi="Times New Roman"/>
          <w:sz w:val="18"/>
          <w:szCs w:val="18"/>
          <w:color w:val="231916"/>
        </w:rPr>
      </w:pPr>
    </w:p>
    <w:p>
      <w:pPr>
        <w:jc w:val="both"/>
        <w:ind w:left="520" w:right="120" w:hanging="404"/>
        <w:spacing w:after="0" w:line="228" w:lineRule="exact"/>
        <w:tabs>
          <w:tab w:leader="none" w:pos="520" w:val="left"/>
        </w:tabs>
        <w:numPr>
          <w:ilvl w:val="0"/>
          <w:numId w:val="1"/>
        </w:numPr>
        <w:rPr>
          <w:rFonts w:ascii="Times New Roman" w:cs="Times New Roman" w:eastAsia="Times New Roman" w:hAnsi="Times New Roman"/>
          <w:sz w:val="18"/>
          <w:szCs w:val="18"/>
          <w:color w:val="231916"/>
        </w:rPr>
      </w:pPr>
      <w:r>
        <w:rPr>
          <w:rFonts w:ascii="Times New Roman" w:cs="Times New Roman" w:eastAsia="Times New Roman" w:hAnsi="Times New Roman"/>
          <w:sz w:val="18"/>
          <w:szCs w:val="18"/>
          <w:color w:val="231916"/>
        </w:rPr>
        <w:t xml:space="preserve">Mr. David Zhang ( </w:t>
      </w:r>
      <w:r>
        <w:rPr>
          <w:rFonts w:ascii="PMingLiU" w:cs="PMingLiU" w:eastAsia="PMingLiU" w:hAnsi="PMingLiU"/>
          <w:sz w:val="18"/>
          <w:szCs w:val="18"/>
          <w:color w:val="231916"/>
        </w:rPr>
        <w:t>張彤</w:t>
      </w:r>
      <w:r>
        <w:rPr>
          <w:rFonts w:ascii="Times New Roman" w:cs="Times New Roman" w:eastAsia="Times New Roman" w:hAnsi="Times New Roman"/>
          <w:sz w:val="18"/>
          <w:szCs w:val="18"/>
          <w:color w:val="231916"/>
        </w:rPr>
        <w:t>) (“</w:t>
      </w:r>
      <w:r>
        <w:rPr>
          <w:rFonts w:ascii="Times New Roman" w:cs="Times New Roman" w:eastAsia="Times New Roman" w:hAnsi="Times New Roman"/>
          <w:sz w:val="18"/>
          <w:szCs w:val="18"/>
          <w:b w:val="1"/>
          <w:bCs w:val="1"/>
          <w:color w:val="231916"/>
        </w:rPr>
        <w:t>Mr. Zhang</w:t>
      </w:r>
      <w:r>
        <w:rPr>
          <w:rFonts w:ascii="Times New Roman" w:cs="Times New Roman" w:eastAsia="Times New Roman" w:hAnsi="Times New Roman"/>
          <w:sz w:val="18"/>
          <w:szCs w:val="18"/>
          <w:color w:val="231916"/>
        </w:rPr>
        <w:t>”) has been appointed as a non-executive Director under the Rules (the “</w:t>
      </w:r>
      <w:r>
        <w:rPr>
          <w:rFonts w:ascii="Times New Roman" w:cs="Times New Roman" w:eastAsia="Times New Roman" w:hAnsi="Times New Roman"/>
          <w:sz w:val="18"/>
          <w:szCs w:val="18"/>
          <w:b w:val="1"/>
          <w:bCs w:val="1"/>
          <w:color w:val="231916"/>
        </w:rPr>
        <w:t>Hong Kong Listing Rules</w:t>
      </w:r>
      <w:r>
        <w:rPr>
          <w:rFonts w:ascii="Times New Roman" w:cs="Times New Roman" w:eastAsia="Times New Roman" w:hAnsi="Times New Roman"/>
          <w:sz w:val="18"/>
          <w:szCs w:val="18"/>
          <w:color w:val="231916"/>
        </w:rPr>
        <w:t>”) Governing the Listing of Securities on The Stock Exchange of Hong Kong Limited (the “</w:t>
      </w:r>
      <w:r>
        <w:rPr>
          <w:rFonts w:ascii="Times New Roman" w:cs="Times New Roman" w:eastAsia="Times New Roman" w:hAnsi="Times New Roman"/>
          <w:sz w:val="18"/>
          <w:szCs w:val="18"/>
          <w:b w:val="1"/>
          <w:bCs w:val="1"/>
          <w:color w:val="231916"/>
        </w:rPr>
        <w:t>Hong Kong Stock Exchange</w:t>
      </w:r>
      <w:r>
        <w:rPr>
          <w:rFonts w:ascii="Times New Roman" w:cs="Times New Roman" w:eastAsia="Times New Roman" w:hAnsi="Times New Roman"/>
          <w:sz w:val="18"/>
          <w:szCs w:val="18"/>
          <w:color w:val="231916"/>
        </w:rPr>
        <w:t>”) and an independent Director under the rules and regulations of the New York Stock Exchange; and</w:t>
      </w:r>
    </w:p>
    <w:p>
      <w:pPr>
        <w:spacing w:after="0" w:line="207" w:lineRule="exact"/>
        <w:rPr>
          <w:rFonts w:ascii="Times New Roman" w:cs="Times New Roman" w:eastAsia="Times New Roman" w:hAnsi="Times New Roman"/>
          <w:sz w:val="18"/>
          <w:szCs w:val="18"/>
          <w:color w:val="231916"/>
        </w:rPr>
      </w:pPr>
    </w:p>
    <w:p>
      <w:pPr>
        <w:ind w:left="520" w:hanging="404"/>
        <w:spacing w:after="0" w:line="219" w:lineRule="exact"/>
        <w:tabs>
          <w:tab w:leader="none" w:pos="520" w:val="left"/>
        </w:tabs>
        <w:numPr>
          <w:ilvl w:val="0"/>
          <w:numId w:val="1"/>
        </w:numPr>
        <w:rPr>
          <w:rFonts w:ascii="Times New Roman" w:cs="Times New Roman" w:eastAsia="Times New Roman" w:hAnsi="Times New Roman"/>
          <w:sz w:val="18"/>
          <w:szCs w:val="18"/>
          <w:color w:val="231916"/>
        </w:rPr>
      </w:pPr>
      <w:r>
        <w:rPr>
          <w:rFonts w:ascii="Times New Roman" w:cs="Times New Roman" w:eastAsia="Times New Roman" w:hAnsi="Times New Roman"/>
          <w:sz w:val="18"/>
          <w:szCs w:val="18"/>
          <w:color w:val="231916"/>
        </w:rPr>
        <w:t>Ms. Xiangrong Li (</w:t>
      </w:r>
      <w:r>
        <w:rPr>
          <w:rFonts w:ascii="PMingLiU" w:cs="PMingLiU" w:eastAsia="PMingLiU" w:hAnsi="PMingLiU"/>
          <w:sz w:val="18"/>
          <w:szCs w:val="18"/>
          <w:color w:val="231916"/>
        </w:rPr>
        <w:t>李向榮</w:t>
      </w:r>
      <w:r>
        <w:rPr>
          <w:rFonts w:ascii="Times New Roman" w:cs="Times New Roman" w:eastAsia="Times New Roman" w:hAnsi="Times New Roman"/>
          <w:sz w:val="18"/>
          <w:szCs w:val="18"/>
          <w:color w:val="231916"/>
        </w:rPr>
        <w:t>) (“</w:t>
      </w:r>
      <w:r>
        <w:rPr>
          <w:rFonts w:ascii="Times New Roman" w:cs="Times New Roman" w:eastAsia="Times New Roman" w:hAnsi="Times New Roman"/>
          <w:sz w:val="18"/>
          <w:szCs w:val="18"/>
          <w:b w:val="1"/>
          <w:bCs w:val="1"/>
          <w:color w:val="231916"/>
        </w:rPr>
        <w:t>Ms. Li</w:t>
      </w:r>
      <w:r>
        <w:rPr>
          <w:rFonts w:ascii="Times New Roman" w:cs="Times New Roman" w:eastAsia="Times New Roman" w:hAnsi="Times New Roman"/>
          <w:sz w:val="18"/>
          <w:szCs w:val="18"/>
          <w:color w:val="231916"/>
        </w:rPr>
        <w:t>”) has been appointed as an independent Director.</w:t>
      </w:r>
    </w:p>
    <w:p>
      <w:pPr>
        <w:spacing w:after="0" w:line="23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231916"/>
        </w:rPr>
        <w:t>Following the retirement, resignation and appointment of the relevant Directors, with effect from June 30, 2024, the composition of the Board committees has been changed in accordance with the recommendation of the corporate governance and nominating committee of the Company (the “</w:t>
      </w:r>
      <w:r>
        <w:rPr>
          <w:rFonts w:ascii="Times New Roman" w:cs="Times New Roman" w:eastAsia="Times New Roman" w:hAnsi="Times New Roman"/>
          <w:sz w:val="18"/>
          <w:szCs w:val="18"/>
          <w:b w:val="1"/>
          <w:bCs w:val="1"/>
          <w:color w:val="231916"/>
        </w:rPr>
        <w:t>Corporate Governance and Nominating Committee</w:t>
      </w:r>
      <w:r>
        <w:rPr>
          <w:rFonts w:ascii="Times New Roman" w:cs="Times New Roman" w:eastAsia="Times New Roman" w:hAnsi="Times New Roman"/>
          <w:sz w:val="18"/>
          <w:szCs w:val="18"/>
          <w:color w:val="231916"/>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916"/>
        </w:rPr>
        <w:t>RETIREMENT AND/OR RESIGNATION OF INDEPENDENT DIRECTORS</w:t>
      </w:r>
    </w:p>
    <w:p>
      <w:pPr>
        <w:spacing w:after="0" w:line="243"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231916"/>
        </w:rPr>
        <w:t>Dr. Zhiwu Chen (</w:t>
      </w:r>
      <w:r>
        <w:rPr>
          <w:rFonts w:ascii="PMingLiU" w:cs="PMingLiU" w:eastAsia="PMingLiU" w:hAnsi="PMingLiU"/>
          <w:sz w:val="18"/>
          <w:szCs w:val="18"/>
          <w:color w:val="231916"/>
        </w:rPr>
        <w:t>陳志武</w:t>
      </w:r>
      <w:r>
        <w:rPr>
          <w:rFonts w:ascii="Times New Roman" w:cs="Times New Roman" w:eastAsia="Times New Roman" w:hAnsi="Times New Roman"/>
          <w:sz w:val="18"/>
          <w:szCs w:val="18"/>
          <w:color w:val="231916"/>
        </w:rPr>
        <w:t>), after more than ten years of service, upon the expiration of the independent director agreement entered into between him and the Company, has retired from the position as an independent Director with effect from June 30, 2024. Upon his retirement, Dr. Chen ceased to be the chairman of the audit committee of the Company (the “</w:t>
      </w:r>
      <w:r>
        <w:rPr>
          <w:rFonts w:ascii="Times New Roman" w:cs="Times New Roman" w:eastAsia="Times New Roman" w:hAnsi="Times New Roman"/>
          <w:sz w:val="18"/>
          <w:szCs w:val="18"/>
          <w:b w:val="1"/>
          <w:bCs w:val="1"/>
          <w:color w:val="231916"/>
        </w:rPr>
        <w:t>Audit Committee</w:t>
      </w:r>
      <w:r>
        <w:rPr>
          <w:rFonts w:ascii="Times New Roman" w:cs="Times New Roman" w:eastAsia="Times New Roman" w:hAnsi="Times New Roman"/>
          <w:sz w:val="18"/>
          <w:szCs w:val="18"/>
          <w:color w:val="231916"/>
        </w:rPr>
        <w:t>”) and a member of the Corporate Governance and Nominating Committee with effect from the same date.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spacing w:after="0" w:line="232" w:lineRule="exact"/>
        <w:rPr>
          <w:sz w:val="20"/>
          <w:szCs w:val="20"/>
          <w:color w:val="auto"/>
        </w:rPr>
      </w:pPr>
      <w:r>
        <w:rPr>
          <w:rFonts w:ascii="Times New Roman" w:cs="Times New Roman" w:eastAsia="Times New Roman" w:hAnsi="Times New Roman"/>
          <w:sz w:val="18"/>
          <w:szCs w:val="18"/>
          <w:color w:val="231916"/>
        </w:rPr>
        <w:t>Mr. Jinbo Yao (</w:t>
      </w:r>
      <w:r>
        <w:rPr>
          <w:rFonts w:ascii="PMingLiU" w:cs="PMingLiU" w:eastAsia="PMingLiU" w:hAnsi="PMingLiU"/>
          <w:sz w:val="18"/>
          <w:szCs w:val="18"/>
          <w:color w:val="231916"/>
        </w:rPr>
        <w:t>姚勁波</w:t>
      </w:r>
      <w:r>
        <w:rPr>
          <w:rFonts w:ascii="Times New Roman" w:cs="Times New Roman" w:eastAsia="Times New Roman" w:hAnsi="Times New Roman"/>
          <w:sz w:val="18"/>
          <w:szCs w:val="18"/>
          <w:color w:val="231916"/>
        </w:rPr>
        <w:t>), after more than nine years of service, has tendered his resignation from the position as an independent Director with effect from June 30, 2024, as he decided to devote more time to his other engagements. Accordingly, Mr. Yao requested to be released from his duties in the Group.</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916"/>
        </w:rPr>
        <w:t>Each of Dr. Chen and Mr. Yao has respectively confirmed that he has no disagreement with the Board and there is no matter in connection with his resignation as an independent Director that should be brought to the attention of the shareholders of the Company (the “</w:t>
      </w:r>
      <w:r>
        <w:rPr>
          <w:rFonts w:ascii="Times New Roman" w:cs="Times New Roman" w:eastAsia="Times New Roman" w:hAnsi="Times New Roman"/>
          <w:sz w:val="18"/>
          <w:szCs w:val="18"/>
          <w:b w:val="1"/>
          <w:bCs w:val="1"/>
          <w:color w:val="231916"/>
        </w:rPr>
        <w:t>Shareholders</w:t>
      </w:r>
      <w:r>
        <w:rPr>
          <w:rFonts w:ascii="Times New Roman" w:cs="Times New Roman" w:eastAsia="Times New Roman" w:hAnsi="Times New Roman"/>
          <w:sz w:val="18"/>
          <w:szCs w:val="18"/>
          <w:color w:val="231916"/>
        </w:rPr>
        <w:t>”). Their respective retirement or resignation will not affect the operation of the Board and the Company. The Board would like to express its gratitude to Dr. Chen and Mr. Yao for their invaluable contributions to the Company during their tenure of office.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916"/>
        </w:rPr>
        <w:t>APPOINTMENT OF A NON-EXECUTIVE DIRECTOR</w:t>
      </w:r>
    </w:p>
    <w:p>
      <w:pPr>
        <w:spacing w:after="0" w:line="243"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231916"/>
        </w:rPr>
        <w:t xml:space="preserve">Mr. David Zhang ( </w:t>
      </w:r>
      <w:r>
        <w:rPr>
          <w:rFonts w:ascii="PMingLiU" w:cs="PMingLiU" w:eastAsia="PMingLiU" w:hAnsi="PMingLiU"/>
          <w:sz w:val="18"/>
          <w:szCs w:val="18"/>
          <w:color w:val="231916"/>
        </w:rPr>
        <w:t>張彤</w:t>
      </w:r>
      <w:r>
        <w:rPr>
          <w:rFonts w:ascii="Times New Roman" w:cs="Times New Roman" w:eastAsia="Times New Roman" w:hAnsi="Times New Roman"/>
          <w:sz w:val="18"/>
          <w:szCs w:val="18"/>
          <w:color w:val="231916"/>
        </w:rPr>
        <w:t>) has been appointed as a non-executive Director under the Hong Kong Listing Rules and an independent Director under the rules and regulations of the New York Stock Exchange with effect from June 30, 2024. The biographical details of Mr. Zhang are as follows: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916"/>
        </w:rPr>
        <w:t>Mr. Zhang, aged 61, has extensive experience representing Chinese issuers and leading investment banks in U.S. initial public offerings, Hong Kong initial public offerings and other Rule 144A and Regulation S offerings of equity, debt and convertible securities. Admitted to the practice of law in the State of New York, U.S. and based in Hong Kong, Mr. Zhang specializes in securities offerings and mergers and acquisition (M&amp;A) transactions. He has represented a number of leading private equity funds, multinational corporations and sovereign wealth funds in connection with their investments and M&amp;A transactions in the Greater China region and Southeast Asia. In addition, Mr. Zhang has successfully guided China-based companies listed in the Unites States and Hong Kong through complex mission-critical moments, counselling leaders and boards of directors on high-stakes matters at the intersection of litigation, regulatory enforcement, reputation and public policy.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916"/>
        </w:rPr>
        <w:t>Mr. Zhang has been serving as a member of the board of Tulane University since February 2023, and an independent non-executive director of Fosun International Limited, the shares of which are listed on the Hong Kong Stock Exchange (stock code: 0656), since June 2012, respectively. He had also been a senior corporate partner in the Hong Kong office of Kirkland &amp; Ellis International LLP, a leading international law firm, from which he retired in January 2024. Prior to joining Kirkland &amp; Ellis International LLP in August 2011, Mr. Zhang was a partner of Latham &amp; Watkins LLP, a leading international law firm, for eight years.</w:t>
      </w:r>
    </w:p>
    <w:p>
      <w:pPr>
        <w:spacing w:after="0" w:line="197"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231916"/>
        </w:rPr>
        <w:t>Mr. Zhang graduated from Beijing Foreign Studies University (</w:t>
      </w:r>
      <w:r>
        <w:rPr>
          <w:rFonts w:ascii="PMingLiU" w:cs="PMingLiU" w:eastAsia="PMingLiU" w:hAnsi="PMingLiU"/>
          <w:sz w:val="18"/>
          <w:szCs w:val="18"/>
          <w:color w:val="231916"/>
        </w:rPr>
        <w:t>北京外國語大學</w:t>
      </w:r>
      <w:r>
        <w:rPr>
          <w:rFonts w:ascii="Times New Roman" w:cs="Times New Roman" w:eastAsia="Times New Roman" w:hAnsi="Times New Roman"/>
          <w:sz w:val="18"/>
          <w:szCs w:val="18"/>
          <w:color w:val="231916"/>
        </w:rPr>
        <w:t>) with his bachelor’s degree in 1981 in China and received his juris doctor degree from Tulane University Law School in 1991 in U.S. He has also been rated as a top capital markets attorney by Chambers Global, Legal 500 Asia Pacific, IFLR1000 and Chambers Asia Pacific for several times.</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916"/>
        </w:rPr>
        <w:t>The Board considered and accepted the recommendation from the Corporate Governance and Nominating Committee to appoint Mr. Zhang as a non-executive Director, after reviewing his academic qualifications and work experience, among others.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231916"/>
        </w:rPr>
        <w:t>Save as disclosed above, as of the date of this announcement, Mr. Zhang confirms that he does not hold any other position with the Company or any members of the Group, nor does he have any relationship with any Directors, senior management or substantial shareholder (as defined in the Hong Kong Listing Rules) of the Company. Save as disclosed above, Mr. Zhang confirms that he has not held any directorship in any public companies the securities of which are listed on any securities market in Hong Kong or overseas in the past three years.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916"/>
        </w:rPr>
        <w:t>The Company and Mr. Zhang entered into a director agreement, with an initial term of three years from June 30, 2024, which is subject to the requirements in respect of retirement by rotation under the Hong Kong Listing Rules and re-election at the annual general meeting of the Company under the memorandum of association and articles of association of the Company (the “</w:t>
      </w:r>
      <w:r>
        <w:rPr>
          <w:rFonts w:ascii="Times New Roman" w:cs="Times New Roman" w:eastAsia="Times New Roman" w:hAnsi="Times New Roman"/>
          <w:sz w:val="18"/>
          <w:szCs w:val="18"/>
          <w:b w:val="1"/>
          <w:bCs w:val="1"/>
          <w:color w:val="231916"/>
        </w:rPr>
        <w:t>Articles</w:t>
      </w:r>
      <w:r>
        <w:rPr>
          <w:rFonts w:ascii="Times New Roman" w:cs="Times New Roman" w:eastAsia="Times New Roman" w:hAnsi="Times New Roman"/>
          <w:sz w:val="18"/>
          <w:szCs w:val="18"/>
          <w:color w:val="231916"/>
        </w:rPr>
        <w:t>”) and the Hong Kong Listing Rules, pursuant to which, Mr. Zhang shall hold office until the next annual general meeting of the Company and will be eligible for re-election at such meeting. The director agreement may be terminated by either party by giving a 30-day prior written notice to the other party, or shorter period as the parties may agree upon. Mr. Zhang will receive a director’s fee of HK$500,000 per annum, which is determined by the Board upon recommendation from the compensation committee of the Company (the “</w:t>
      </w:r>
      <w:r>
        <w:rPr>
          <w:rFonts w:ascii="Times New Roman" w:cs="Times New Roman" w:eastAsia="Times New Roman" w:hAnsi="Times New Roman"/>
          <w:sz w:val="18"/>
          <w:szCs w:val="18"/>
          <w:b w:val="1"/>
          <w:bCs w:val="1"/>
          <w:color w:val="231916"/>
        </w:rPr>
        <w:t>Compensation Committee</w:t>
      </w:r>
      <w:r>
        <w:rPr>
          <w:rFonts w:ascii="Times New Roman" w:cs="Times New Roman" w:eastAsia="Times New Roman" w:hAnsi="Times New Roman"/>
          <w:sz w:val="18"/>
          <w:szCs w:val="18"/>
          <w:color w:val="231916"/>
        </w:rPr>
        <w:t>”) by reference to his academic and professional qualifications and work experience, among others, and may also receive additional benefits as the Board or its authorized person(s) shall in its absolute discretion deem appropriate for his term of appointment as a non-executive Director.</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916"/>
        </w:rPr>
        <w:t>As of the date of this announcement, Mr. Zhang does not have any interests in any Shares within the meaning of Part XV of the Securities and Futures Ordinance (Chapter 571 of the Laws of Hong Kong) (the “</w:t>
      </w:r>
      <w:r>
        <w:rPr>
          <w:rFonts w:ascii="Times New Roman" w:cs="Times New Roman" w:eastAsia="Times New Roman" w:hAnsi="Times New Roman"/>
          <w:sz w:val="18"/>
          <w:szCs w:val="18"/>
          <w:b w:val="1"/>
          <w:bCs w:val="1"/>
          <w:color w:val="231916"/>
        </w:rPr>
        <w:t>SFO</w:t>
      </w:r>
      <w:r>
        <w:rPr>
          <w:rFonts w:ascii="Times New Roman" w:cs="Times New Roman" w:eastAsia="Times New Roman" w:hAnsi="Times New Roman"/>
          <w:sz w:val="18"/>
          <w:szCs w:val="18"/>
          <w:color w:val="231916"/>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916"/>
        </w:rPr>
        <w:t>Save as disclosed above, there is no matter that needs to be brought to the attention of the Shareholders in connection with Mr. Zhang’s appointment as a non-executive Director, and the Board is not aware of any other information that needs to be disclosed pursuant to Rule 13.51(2)(h) to (v) of the Hong Kong Listing Rules.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916"/>
        </w:rPr>
        <w:t>Mr. Zhang has obtained the legal advice referred to under Rule 3.09D of the Hong Kong Listing Rules prior to his appointment, and confirmed that he understood his obligations as a Director under the Hong Kong Listing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916"/>
        </w:rPr>
        <w:t>APPOINTMENT OF AN INDEPENDENT DIRECTOR</w:t>
      </w:r>
    </w:p>
    <w:p>
      <w:pPr>
        <w:spacing w:after="0" w:line="243"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231916"/>
        </w:rPr>
        <w:t xml:space="preserve">Ms. Xiangrong Li ( </w:t>
      </w:r>
      <w:r>
        <w:rPr>
          <w:rFonts w:ascii="PMingLiU" w:cs="PMingLiU" w:eastAsia="PMingLiU" w:hAnsi="PMingLiU"/>
          <w:sz w:val="18"/>
          <w:szCs w:val="18"/>
          <w:color w:val="231916"/>
        </w:rPr>
        <w:t>李向榮</w:t>
      </w:r>
      <w:r>
        <w:rPr>
          <w:rFonts w:ascii="Times New Roman" w:cs="Times New Roman" w:eastAsia="Times New Roman" w:hAnsi="Times New Roman"/>
          <w:sz w:val="18"/>
          <w:szCs w:val="18"/>
          <w:color w:val="231916"/>
        </w:rPr>
        <w:t>) has been appointed as an independent Director with effect from June 30, 2024. The biographical details of Ms. Li are as follows:</w:t>
      </w:r>
    </w:p>
    <w:p>
      <w:pPr>
        <w:spacing w:after="0" w:line="198"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231916"/>
        </w:rPr>
        <w:t>Ms. Li, aged 51, has extensive experience in accounting and financial management. She has been serving as a deputy general manager and the financial controller of Beijing Tourist Hotel (Group) Co., Ltd. (</w:t>
      </w:r>
      <w:r>
        <w:rPr>
          <w:rFonts w:ascii="PMingLiU" w:cs="PMingLiU" w:eastAsia="PMingLiU" w:hAnsi="PMingLiU"/>
          <w:sz w:val="18"/>
          <w:szCs w:val="18"/>
          <w:color w:val="231916"/>
        </w:rPr>
        <w:t>北京首旅酒店</w:t>
      </w:r>
      <w:r>
        <w:rPr>
          <w:rFonts w:ascii="Times New Roman" w:cs="Times New Roman" w:eastAsia="Times New Roman" w:hAnsi="Times New Roman"/>
          <w:sz w:val="18"/>
          <w:szCs w:val="18"/>
          <w:color w:val="231916"/>
        </w:rPr>
        <w:t>(</w:t>
      </w:r>
      <w:r>
        <w:rPr>
          <w:rFonts w:ascii="PMingLiU" w:cs="PMingLiU" w:eastAsia="PMingLiU" w:hAnsi="PMingLiU"/>
          <w:sz w:val="18"/>
          <w:szCs w:val="18"/>
          <w:color w:val="231916"/>
        </w:rPr>
        <w:t>集團</w:t>
      </w:r>
      <w:r>
        <w:rPr>
          <w:rFonts w:ascii="Times New Roman" w:cs="Times New Roman" w:eastAsia="Times New Roman" w:hAnsi="Times New Roman"/>
          <w:sz w:val="18"/>
          <w:szCs w:val="18"/>
          <w:color w:val="231916"/>
        </w:rPr>
        <w:t>)</w:t>
      </w:r>
      <w:r>
        <w:rPr>
          <w:rFonts w:ascii="PMingLiU" w:cs="PMingLiU" w:eastAsia="PMingLiU" w:hAnsi="PMingLiU"/>
          <w:sz w:val="18"/>
          <w:szCs w:val="18"/>
          <w:color w:val="231916"/>
        </w:rPr>
        <w:t>股份有限公司</w:t>
      </w:r>
      <w:r>
        <w:rPr>
          <w:rFonts w:ascii="Times New Roman" w:cs="Times New Roman" w:eastAsia="Times New Roman" w:hAnsi="Times New Roman"/>
          <w:sz w:val="18"/>
          <w:szCs w:val="18"/>
          <w:color w:val="231916"/>
        </w:rPr>
        <w:t>), the shares of which are listed on the Shanghai Stock Exchange (stock code: 600258), since September 2016 after its merger with Homeinns Hotel Group (previously listed on NASDAQ stock market with the ticker symbol “HMIN”). Before that, Ms. Li served as the chief financial officer of Homeinns Hotel Group from August 2014 to April 2016. She also served as the chief financial officer of Hengdeli Holdings Ltd, the shares of which are listed on the Hong Kong Stock Exchange (stock code: 3389), from 2010 to August 2014. Prior to that, Ms. Li was employed by Unilever for various positions from 1993 to 2010, including serving as the financial controller for Greater China region from 2007 to 2010.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26" w:lineRule="exact"/>
        <w:rPr>
          <w:sz w:val="20"/>
          <w:szCs w:val="20"/>
          <w:color w:val="auto"/>
        </w:rPr>
      </w:pPr>
      <w:r>
        <w:rPr>
          <w:rFonts w:ascii="Times New Roman" w:cs="Times New Roman" w:eastAsia="Times New Roman" w:hAnsi="Times New Roman"/>
          <w:sz w:val="18"/>
          <w:szCs w:val="18"/>
          <w:color w:val="231916"/>
        </w:rPr>
        <w:t>Ms. Li has been serving as an independent non-executive director of Viva Biotech Holdings (</w:t>
      </w:r>
      <w:r>
        <w:rPr>
          <w:rFonts w:ascii="PMingLiU" w:cs="PMingLiU" w:eastAsia="PMingLiU" w:hAnsi="PMingLiU"/>
          <w:sz w:val="18"/>
          <w:szCs w:val="18"/>
          <w:color w:val="231916"/>
        </w:rPr>
        <w:t>維亞生物科技控股集團</w:t>
      </w:r>
      <w:r>
        <w:rPr>
          <w:rFonts w:ascii="Times New Roman" w:cs="Times New Roman" w:eastAsia="Times New Roman" w:hAnsi="Times New Roman"/>
          <w:sz w:val="18"/>
          <w:szCs w:val="18"/>
          <w:color w:val="231916"/>
        </w:rPr>
        <w:t>), the shares of which are listed on the Hong Kong Stock Exchange (stock code: 1873), since April 2019, and she also served as an independent director of MakeMyTrip Limited, an Indian online travel company, the shares of which are listed on NASDAQ stock market (ticker symbol: MMYT) from September 2019 to May 2024.</w:t>
      </w:r>
    </w:p>
    <w:p>
      <w:pPr>
        <w:spacing w:after="0" w:line="213"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231916"/>
        </w:rPr>
        <w:t>Ms. Li obtained her bachelor’s degree in international accounting jointly awarded by the Shanghai University of Finance and Economics (</w:t>
      </w:r>
      <w:r>
        <w:rPr>
          <w:rFonts w:ascii="PMingLiU" w:cs="PMingLiU" w:eastAsia="PMingLiU" w:hAnsi="PMingLiU"/>
          <w:sz w:val="18"/>
          <w:szCs w:val="18"/>
          <w:color w:val="231916"/>
        </w:rPr>
        <w:t>上海財經大學</w:t>
      </w:r>
      <w:r>
        <w:rPr>
          <w:rFonts w:ascii="Times New Roman" w:cs="Times New Roman" w:eastAsia="Times New Roman" w:hAnsi="Times New Roman"/>
          <w:sz w:val="18"/>
          <w:szCs w:val="18"/>
          <w:color w:val="231916"/>
        </w:rPr>
        <w:t>) and Shanghai International Studies University (</w:t>
      </w:r>
      <w:r>
        <w:rPr>
          <w:rFonts w:ascii="PMingLiU" w:cs="PMingLiU" w:eastAsia="PMingLiU" w:hAnsi="PMingLiU"/>
          <w:sz w:val="18"/>
          <w:szCs w:val="18"/>
          <w:color w:val="231916"/>
        </w:rPr>
        <w:t>上海外國語大學</w:t>
      </w:r>
      <w:r>
        <w:rPr>
          <w:rFonts w:ascii="Times New Roman" w:cs="Times New Roman" w:eastAsia="Times New Roman" w:hAnsi="Times New Roman"/>
          <w:sz w:val="18"/>
          <w:szCs w:val="18"/>
          <w:color w:val="231916"/>
        </w:rPr>
        <w:t>) in China in July 1993. She also obtained her master’s degree in executive management business administration from China Europe International Business School (</w:t>
      </w:r>
      <w:r>
        <w:rPr>
          <w:rFonts w:ascii="PMingLiU" w:cs="PMingLiU" w:eastAsia="PMingLiU" w:hAnsi="PMingLiU"/>
          <w:sz w:val="18"/>
          <w:szCs w:val="18"/>
          <w:color w:val="231916"/>
        </w:rPr>
        <w:t>中歐國際商學院</w:t>
      </w:r>
      <w:r>
        <w:rPr>
          <w:rFonts w:ascii="Times New Roman" w:cs="Times New Roman" w:eastAsia="Times New Roman" w:hAnsi="Times New Roman"/>
          <w:sz w:val="18"/>
          <w:szCs w:val="18"/>
          <w:color w:val="231916"/>
        </w:rPr>
        <w:t>) in Shanghai, China in September 2008.</w:t>
      </w:r>
    </w:p>
    <w:p>
      <w:pPr>
        <w:spacing w:after="0" w:line="212"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231916"/>
        </w:rPr>
        <w:t>Ms. Li held serval accounting qualifications. She has been admitted as (i) a fellow of the Institute of Public Accountants in Australia since July 2020, (ii) a fellow of the Association of Chartered Certified Accountants since July 2003, and (iii) a member of The Chinese Institute of Certified Public Accountants (</w:t>
      </w:r>
      <w:r>
        <w:rPr>
          <w:rFonts w:ascii="PMingLiU" w:cs="PMingLiU" w:eastAsia="PMingLiU" w:hAnsi="PMingLiU"/>
          <w:sz w:val="18"/>
          <w:szCs w:val="18"/>
          <w:color w:val="231916"/>
        </w:rPr>
        <w:t>中國註冊會計師會</w:t>
      </w:r>
      <w:r>
        <w:rPr>
          <w:rFonts w:ascii="Times New Roman" w:cs="Times New Roman" w:eastAsia="Times New Roman" w:hAnsi="Times New Roman"/>
          <w:sz w:val="18"/>
          <w:szCs w:val="18"/>
          <w:color w:val="231916"/>
        </w:rPr>
        <w:t>) since August 1995, respectively. She was awarded (i) the CFO of the Year in China (</w:t>
      </w:r>
      <w:r>
        <w:rPr>
          <w:rFonts w:ascii="PMingLiU" w:cs="PMingLiU" w:eastAsia="PMingLiU" w:hAnsi="PMingLiU"/>
          <w:sz w:val="18"/>
          <w:szCs w:val="18"/>
          <w:color w:val="231916"/>
        </w:rPr>
        <w:t>中國年度</w:t>
      </w:r>
      <w:r>
        <w:rPr>
          <w:rFonts w:ascii="Times New Roman" w:cs="Times New Roman" w:eastAsia="Times New Roman" w:hAnsi="Times New Roman"/>
          <w:sz w:val="18"/>
          <w:szCs w:val="18"/>
          <w:color w:val="231916"/>
        </w:rPr>
        <w:t xml:space="preserve">CFO) by New Financial </w:t>
      </w:r>
      <w:r>
        <w:rPr>
          <w:rFonts w:ascii="PMingLiU" w:cs="PMingLiU" w:eastAsia="PMingLiU" w:hAnsi="PMingLiU"/>
          <w:sz w:val="18"/>
          <w:szCs w:val="18"/>
          <w:color w:val="231916"/>
        </w:rPr>
        <w:t>《</w:t>
      </w:r>
      <w:r>
        <w:rPr>
          <w:rFonts w:ascii="Times New Roman" w:cs="Times New Roman" w:eastAsia="Times New Roman" w:hAnsi="Times New Roman"/>
          <w:sz w:val="18"/>
          <w:szCs w:val="18"/>
          <w:color w:val="231916"/>
        </w:rPr>
        <w:t xml:space="preserve">( </w:t>
      </w:r>
      <w:r>
        <w:rPr>
          <w:rFonts w:ascii="PMingLiU" w:cs="PMingLiU" w:eastAsia="PMingLiU" w:hAnsi="PMingLiU"/>
          <w:sz w:val="18"/>
          <w:szCs w:val="18"/>
          <w:color w:val="231916"/>
        </w:rPr>
        <w:t>新理財》</w:t>
      </w:r>
      <w:r>
        <w:rPr>
          <w:rFonts w:ascii="Times New Roman" w:cs="Times New Roman" w:eastAsia="Times New Roman" w:hAnsi="Times New Roman"/>
          <w:sz w:val="18"/>
          <w:szCs w:val="18"/>
          <w:color w:val="231916"/>
        </w:rPr>
        <w:t>) magazine in November 2012; (ii) the China Best CFO Leadership Award jointly by ACCA, SNAI and Korn Ferry in November 2019; and (iii) the 2020 International Financial Leader of the Year in China (2020</w:t>
      </w:r>
      <w:r>
        <w:rPr>
          <w:rFonts w:ascii="PMingLiU" w:cs="PMingLiU" w:eastAsia="PMingLiU" w:hAnsi="PMingLiU"/>
          <w:sz w:val="18"/>
          <w:szCs w:val="18"/>
          <w:color w:val="231916"/>
        </w:rPr>
        <w:t>中國國際財務領袖年度人物</w:t>
      </w:r>
      <w:r>
        <w:rPr>
          <w:rFonts w:ascii="Times New Roman" w:cs="Times New Roman" w:eastAsia="Times New Roman" w:hAnsi="Times New Roman"/>
          <w:sz w:val="18"/>
          <w:szCs w:val="18"/>
          <w:color w:val="231916"/>
        </w:rPr>
        <w:t>) by China CFO Development Centre (</w:t>
      </w:r>
      <w:r>
        <w:rPr>
          <w:rFonts w:ascii="PMingLiU" w:cs="PMingLiU" w:eastAsia="PMingLiU" w:hAnsi="PMingLiU"/>
          <w:sz w:val="18"/>
          <w:szCs w:val="18"/>
          <w:color w:val="231916"/>
        </w:rPr>
        <w:t>中國</w:t>
      </w:r>
      <w:r>
        <w:rPr>
          <w:rFonts w:ascii="Times New Roman" w:cs="Times New Roman" w:eastAsia="Times New Roman" w:hAnsi="Times New Roman"/>
          <w:sz w:val="18"/>
          <w:szCs w:val="18"/>
          <w:color w:val="231916"/>
        </w:rPr>
        <w:t>CFO</w:t>
      </w:r>
      <w:r>
        <w:rPr>
          <w:rFonts w:ascii="PMingLiU" w:cs="PMingLiU" w:eastAsia="PMingLiU" w:hAnsi="PMingLiU"/>
          <w:sz w:val="18"/>
          <w:szCs w:val="18"/>
          <w:color w:val="231916"/>
        </w:rPr>
        <w:t>發展中心</w:t>
      </w:r>
      <w:r>
        <w:rPr>
          <w:rFonts w:ascii="Times New Roman" w:cs="Times New Roman" w:eastAsia="Times New Roman" w:hAnsi="Times New Roman"/>
          <w:sz w:val="18"/>
          <w:szCs w:val="18"/>
          <w:color w:val="231916"/>
        </w:rPr>
        <w:t>) in December 2020.</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916"/>
        </w:rPr>
        <w:t>Save as disclosed above, as of the date of this announcement, Ms. Li confirms that she does not hold any other position with the Company or any members of the Group, nor does she have any relationship with any Directors, senior management or substantial shareholder (as defined in the Hong Kong Listing Rules) of the Company. Save as disclosed above, Ms. Li confirms that she has not held any directorship in any public companies the securities of which are listed on any securities market in Hong Kong or overseas in the past three years.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916"/>
        </w:rPr>
        <w:t>The Board considered and accepted the recommendation from the Company’s Corporate Governance and Nominating Committee to appoint Ms. Li as an independent Director, after reviewing her academic and professional qualifications and work experience, among others.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916"/>
        </w:rPr>
        <w:t>The Company and Ms. Li entered into an independent director agreement, with an initial term of three years from June 30, 2024, which is subject to the requirements in respect of retirement by rotation under the Hong Kong Listing Rules and re-election at the annual general meeting of the Company under the Articles and the Hong Kong Listing Rules, pursuant to which, Ms. Li shall hold office until the next annual general meeting of the Company and will be eligible for re-election at such meeting. The independent director agreement may be terminated by either party giving a 30-day prior written notice to the other party, or shorter period as the parties may agree upon. Ms. Li will receive a director’s fee of HK$650,000 per annum, which is determined by the Board upon recommendation from the Compensation Committee by reference to her academic and professional qualifications and work experience, among others, and may also receive additional benefits as the Board or its authorized person(s) shall in its absolute discretion deem appropriate for her term of appointment as an independent Director.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916"/>
        </w:rPr>
        <w:t>As of the date of this announcement, Ms. Li does not have any interests in any Shares within the meaning of Part XV of the SFO.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916"/>
        </w:rPr>
        <w:t>Ms. Li has confirmed that she met the independence criteria set out in Rule 3.13 of the Hong Kong Listing Rules.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231916"/>
        </w:rPr>
        <w:t>Save as disclosed above, there is no matter that needs to be brought to the attention of the Shareholders in connection with Ms. Li’s appointment as an independent Director, and the Board is not aware of any other information that needs to be disclosed pursuant to Rule 13.51(2)(h) to (v) of the Hong Kong Listing Rules.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916"/>
        </w:rPr>
        <w:t>Ms. Li has obtained the legal advice referred to under Rule 3.09D of the Hong Kong Listing Rules prior to her appointment, and confirmed that she understood her obligations as a Director under the Hong Kong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916"/>
        </w:rPr>
        <w:t>The Board would like to extend its warm welcome to both Mr. Zhang and Ms. Li on their respective appointment to the Board.</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231916"/>
        </w:rPr>
        <w:t>CHANGE IN COMPOSITION OF THE AUDIT COMMITTEE AND THE CORPORATE GOVERNANCE AND NOMINATING COMMITTEE</w:t>
      </w:r>
    </w:p>
    <w:p>
      <w:pPr>
        <w:spacing w:after="0" w:line="172"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231916"/>
        </w:rPr>
        <w:t>Ms. May Yihong Wu (</w:t>
      </w:r>
      <w:r>
        <w:rPr>
          <w:rFonts w:ascii="PMingLiU" w:cs="PMingLiU" w:eastAsia="PMingLiU" w:hAnsi="PMingLiU"/>
          <w:sz w:val="18"/>
          <w:szCs w:val="18"/>
          <w:color w:val="231916"/>
        </w:rPr>
        <w:t>吳亦泓</w:t>
      </w:r>
      <w:r>
        <w:rPr>
          <w:rFonts w:ascii="Times New Roman" w:cs="Times New Roman" w:eastAsia="Times New Roman" w:hAnsi="Times New Roman"/>
          <w:sz w:val="18"/>
          <w:szCs w:val="18"/>
          <w:color w:val="231916"/>
        </w:rPr>
        <w:t>) has resigned from the position as a member of the Audit Committee with effect from June 30, 2024, as she decided to devote more time to her other engagements, but will remain as an independent Director, the chairwoman of the Compensation Committee and a member of the Corporate Governance and Nominating Committee.</w:t>
      </w:r>
    </w:p>
    <w:p>
      <w:pPr>
        <w:spacing w:after="0" w:line="20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231916"/>
        </w:rPr>
        <w:t>Following the retirement, resignation and appointment of the relevant Directors, the composition of the Board committees has been changed in accordance with the recommendation of the Corporate Governance and Nominating Committee. With effective from June 30, 2024, (i) Ms. Li has been appointed as the chairwoman of the Audit Committee; (ii) Mr. Zhang has been appointed as a member of the Audit Committee; and (iii) Ms. Cynthia Jinhong Meng (</w:t>
      </w:r>
      <w:r>
        <w:rPr>
          <w:rFonts w:ascii="PMingLiU" w:cs="PMingLiU" w:eastAsia="PMingLiU" w:hAnsi="PMingLiU"/>
          <w:sz w:val="18"/>
          <w:szCs w:val="18"/>
          <w:color w:val="231916"/>
        </w:rPr>
        <w:t>孟晉紅</w:t>
      </w:r>
      <w:r>
        <w:rPr>
          <w:rFonts w:ascii="Times New Roman" w:cs="Times New Roman" w:eastAsia="Times New Roman" w:hAnsi="Times New Roman"/>
          <w:sz w:val="18"/>
          <w:szCs w:val="18"/>
          <w:color w:val="231916"/>
        </w:rPr>
        <w:t>), an independent Director, has been appointed as a member of the Corporate Governance and Nominating Committee.</w:t>
      </w:r>
    </w:p>
    <w:p>
      <w:pPr>
        <w:spacing w:after="0" w:line="211"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8"/>
          <w:szCs w:val="18"/>
          <w:color w:val="231916"/>
        </w:rPr>
        <w:t>By order of the Board</w:t>
      </w:r>
    </w:p>
    <w:p>
      <w:pPr>
        <w:spacing w:after="0" w:line="27"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8"/>
          <w:szCs w:val="18"/>
          <w:b w:val="1"/>
          <w:bCs w:val="1"/>
          <w:color w:val="231916"/>
        </w:rPr>
        <w:t>Noah Holdings Private Wealth and Asset Management Limited Jingbo Wang</w:t>
      </w:r>
    </w:p>
    <w:p>
      <w:pPr>
        <w:spacing w:after="0" w:line="9"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8"/>
          <w:szCs w:val="18"/>
          <w:i w:val="1"/>
          <w:iCs w:val="1"/>
          <w:color w:val="231916"/>
        </w:rPr>
        <w:t>Chairwoman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916"/>
        </w:rPr>
        <w:t>Hong Kong, July 1, 2024</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916"/>
        </w:rPr>
        <w:t>As of the date of this announcement, the Board comprises Ms. Jingbo Wang, the chairwoman and Mr. Zhe Yin as Directors; Ms. Chia-Yue Chang, Mr. Kai Wang, Mr. Boquan He and Mr. David Zhang as non-executive Directors; and Ms. Xiangrong Li, Ms. Cynthia Jinhong Meng and Ms. May Yihong Wu as independent Directors.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2024-07-01T08:05:45Z</dcterms:created>
  <dcterms:modified xsi:type="dcterms:W3CDTF">2024-07-01T08:05:45Z</dcterms:modified>
</cp:coreProperties>
</file>