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-610235</wp:posOffset>
            </wp:positionV>
            <wp:extent cx="57150" cy="62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641985</wp:posOffset>
            </wp:positionV>
            <wp:extent cx="6997065" cy="4731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731385"/>
                    </a:xfrm>
                    <a:prstGeom prst="rect">
                      <a:avLst/>
                    </a:prstGeom>
                    <a:noFill/>
                  </pic:spPr>
                </pic:pic>
              </a:graphicData>
            </a:graphic>
          </wp:anchor>
        </w:drawing>
      </w:r>
    </w:p>
    <w:p>
      <w:pPr>
        <w:spacing w:after="0" w:line="1069" w:lineRule="exact"/>
        <w:rPr>
          <w:sz w:val="24"/>
          <w:szCs w:val="24"/>
          <w:color w:val="auto"/>
        </w:rPr>
      </w:pPr>
    </w:p>
    <w:p>
      <w:pPr>
        <w:sectPr>
          <w:pgSz w:w="11900" w:h="16838" w:orient="portrait"/>
          <w:cols w:equalWidth="0" w:num="2">
            <w:col w:w="2340" w:space="320"/>
            <w:col w:w="8420"/>
          </w:cols>
          <w:pgMar w:left="460" w:top="215"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Pan Qing</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line="363" w:lineRule="auto"/>
        <w:rPr>
          <w:sz w:val="20"/>
          <w:szCs w:val="20"/>
          <w:color w:val="auto"/>
        </w:rPr>
      </w:pPr>
      <w:r>
        <w:rPr>
          <w:rFonts w:ascii="Times New Roman" w:cs="Times New Roman" w:eastAsia="Times New Roman" w:hAnsi="Times New Roman"/>
          <w:sz w:val="16"/>
          <w:szCs w:val="16"/>
          <w:color w:val="0000FF"/>
        </w:rPr>
        <w:t>34TH FLOOR, TOWER 2, TIMES SQUARE, 1 MATHESON STREET, CAUSEWAY BAY</w:t>
      </w:r>
    </w:p>
    <w:p>
      <w:pPr>
        <w:spacing w:after="0" w:line="16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6"/>
          <w:szCs w:val="16"/>
          <w:color w:val="0000FF"/>
        </w:rPr>
        <w:t>K3</w:t>
      </w:r>
    </w:p>
    <w:p>
      <w:pPr>
        <w:spacing w:after="0" w:line="31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6"/>
        </w:trPr>
        <w:tc>
          <w:tcPr>
            <w:tcW w:w="3840" w:type="dxa"/>
            <w:vAlign w:val="bottom"/>
            <w:gridSpan w:val="4"/>
          </w:tcPr>
          <w:p>
            <w:pPr>
              <w:ind w:left="60"/>
              <w:spacing w:after="0" w:line="20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NOAH HOLDINGS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NOAH</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960" w:type="dxa"/>
            <w:vAlign w:val="bottom"/>
            <w:tcBorders>
              <w:top w:val="single" w:sz="8" w:color="0000EE"/>
            </w:tcBorders>
          </w:tcPr>
          <w:p>
            <w:pPr>
              <w:spacing w:after="0"/>
              <w:rPr>
                <w:sz w:val="12"/>
                <w:szCs w:val="12"/>
                <w:color w:val="auto"/>
              </w:rPr>
            </w:pPr>
          </w:p>
        </w:tc>
        <w:tc>
          <w:tcPr>
            <w:tcW w:w="1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00"/>
              <w:spacing w:after="0" w:line="141"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00"/>
              <w:spacing w:after="0" w:line="149" w:lineRule="exact"/>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line="14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0"/>
        </w:trPr>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180" w:type="dxa"/>
            <w:vAlign w:val="bottom"/>
            <w:gridSpan w:val="2"/>
            <w:vMerge w:val="continue"/>
          </w:tcPr>
          <w:p>
            <w:pPr>
              <w:spacing w:after="0"/>
              <w:rPr>
                <w:sz w:val="5"/>
                <w:szCs w:val="5"/>
                <w:color w:val="auto"/>
              </w:rPr>
            </w:pPr>
          </w:p>
        </w:tc>
        <w:tc>
          <w:tcPr>
            <w:tcW w:w="36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0000FF"/>
              </w:rPr>
              <w:t>CHIEF FINANCIAL OFFICER</w:t>
            </w:r>
          </w:p>
        </w:tc>
        <w:tc>
          <w:tcPr>
            <w:tcW w:w="0" w:type="dxa"/>
            <w:vAlign w:val="bottom"/>
          </w:tcPr>
          <w:p>
            <w:pPr>
              <w:spacing w:after="0"/>
              <w:rPr>
                <w:sz w:val="1"/>
                <w:szCs w:val="1"/>
                <w:color w:val="auto"/>
              </w:rPr>
            </w:pPr>
          </w:p>
        </w:tc>
      </w:tr>
      <w:tr>
        <w:trPr>
          <w:trHeight w:val="212"/>
        </w:trPr>
        <w:tc>
          <w:tcPr>
            <w:tcW w:w="2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05/29/2026</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78" w:lineRule="exact"/>
        <w:rPr>
          <w:sz w:val="24"/>
          <w:szCs w:val="24"/>
          <w:color w:val="auto"/>
        </w:rPr>
      </w:pPr>
    </w:p>
    <w:p>
      <w:pPr>
        <w:sectPr>
          <w:pgSz w:w="11900" w:h="16838" w:orient="portrait"/>
          <w:cols w:equalWidth="0" w:num="2">
            <w:col w:w="3160" w:space="68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80" w:type="dxa"/>
            <w:vAlign w:val="bottom"/>
            <w:gridSpan w:val="2"/>
          </w:tcPr>
          <w:p>
            <w:pPr>
              <w:ind w:left="60"/>
              <w:spacing w:after="0"/>
              <w:rPr>
                <w:sz w:val="20"/>
                <w:szCs w:val="20"/>
                <w:color w:val="auto"/>
              </w:rPr>
            </w:pPr>
            <w:r>
              <w:rPr>
                <w:rFonts w:ascii="Arial" w:cs="Arial" w:eastAsia="Arial" w:hAnsi="Arial"/>
                <w:sz w:val="13"/>
                <w:szCs w:val="13"/>
                <w:b w:val="1"/>
                <w:bCs w:val="1"/>
                <w:color w:val="auto"/>
                <w:w w:val="95"/>
              </w:rPr>
              <w:t>1. Title of Security (Instr. 3)</w:t>
            </w:r>
          </w:p>
        </w:tc>
        <w:tc>
          <w:tcPr>
            <w:tcW w:w="1020" w:type="dxa"/>
            <w:vAlign w:val="bottom"/>
          </w:tcPr>
          <w:p>
            <w:pPr>
              <w:spacing w:after="0"/>
              <w:rPr>
                <w:sz w:val="13"/>
                <w:szCs w:val="13"/>
                <w:color w:val="auto"/>
              </w:rPr>
            </w:pPr>
          </w:p>
        </w:tc>
        <w:tc>
          <w:tcPr>
            <w:tcW w:w="174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3"/>
                <w:szCs w:val="13"/>
                <w:color w:val="auto"/>
              </w:rPr>
            </w:pPr>
          </w:p>
        </w:tc>
        <w:tc>
          <w:tcPr>
            <w:tcW w:w="18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ind w:left="70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2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40" w:type="dxa"/>
            <w:vAlign w:val="bottom"/>
            <w:gridSpan w:val="2"/>
          </w:tcPr>
          <w:p>
            <w:pPr>
              <w:ind w:left="70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72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Pr>
          <w:p>
            <w:pPr>
              <w:spacing w:after="0"/>
              <w:rPr>
                <w:sz w:val="21"/>
                <w:szCs w:val="21"/>
                <w:color w:val="auto"/>
              </w:rPr>
            </w:pPr>
          </w:p>
        </w:tc>
        <w:tc>
          <w:tcPr>
            <w:tcW w:w="1740" w:type="dxa"/>
            <w:vAlign w:val="bottom"/>
            <w:gridSpan w:val="2"/>
          </w:tcPr>
          <w:p>
            <w:pPr>
              <w:jc w:val="center"/>
              <w:ind w:left="538"/>
              <w:spacing w:after="0"/>
              <w:rPr>
                <w:sz w:val="20"/>
                <w:szCs w:val="20"/>
                <w:color w:val="auto"/>
              </w:rPr>
            </w:pPr>
            <w:r>
              <w:rPr>
                <w:rFonts w:ascii="Times New Roman" w:cs="Times New Roman" w:eastAsia="Times New Roman" w:hAnsi="Times New Roman"/>
                <w:sz w:val="16"/>
                <w:szCs w:val="16"/>
                <w:color w:val="0000FF"/>
              </w:rPr>
              <w:t>05/29/2026</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21"/>
                <w:szCs w:val="21"/>
                <w:color w:val="auto"/>
              </w:rPr>
            </w:pP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w w:val="99"/>
              </w:rPr>
              <w:t>1,035</w:t>
            </w:r>
          </w:p>
        </w:tc>
        <w:tc>
          <w:tcPr>
            <w:tcW w:w="720" w:type="dxa"/>
            <w:vAlign w:val="bottom"/>
          </w:tcPr>
          <w:p>
            <w:pPr>
              <w:jc w:val="right"/>
              <w:ind w:right="156"/>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20"/>
              <w:spacing w:after="0"/>
              <w:rPr>
                <w:sz w:val="20"/>
                <w:szCs w:val="20"/>
                <w:color w:val="auto"/>
              </w:rPr>
            </w:pPr>
            <w:r>
              <w:rPr>
                <w:rFonts w:ascii="Times New Roman" w:cs="Times New Roman" w:eastAsia="Times New Roman" w:hAnsi="Times New Roman"/>
                <w:sz w:val="10"/>
                <w:szCs w:val="10"/>
                <w:color w:val="008000"/>
              </w:rPr>
              <w:t>(1)</w:t>
            </w:r>
          </w:p>
        </w:tc>
        <w:tc>
          <w:tcPr>
            <w:tcW w:w="20" w:type="dxa"/>
            <w:vAlign w:val="bottom"/>
          </w:tcPr>
          <w:p>
            <w:pPr>
              <w:spacing w:after="0"/>
              <w:rPr>
                <w:sz w:val="21"/>
                <w:szCs w:val="21"/>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0000FF"/>
              </w:rPr>
              <w:t>927,425</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60" w:type="dxa"/>
            <w:vAlign w:val="bottom"/>
            <w:tcBorders>
              <w:bottom w:val="single" w:sz="8" w:color="2C2C2C"/>
            </w:tcBorders>
            <w:gridSpan w:val="11"/>
          </w:tcPr>
          <w:p>
            <w:pPr>
              <w:spacing w:after="0"/>
              <w:rPr>
                <w:sz w:val="8"/>
                <w:szCs w:val="8"/>
                <w:color w:val="auto"/>
              </w:rPr>
            </w:pPr>
          </w:p>
        </w:tc>
        <w:tc>
          <w:tcPr>
            <w:tcW w:w="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060" w:type="dxa"/>
            <w:vAlign w:val="bottom"/>
            <w:tcBorders>
              <w:top w:val="single" w:sz="8" w:color="2C2C2C"/>
            </w:tcBorders>
            <w:gridSpan w:val="14"/>
          </w:tcPr>
          <w:p>
            <w:pPr>
              <w:ind w:left="9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360" w:type="dxa"/>
            <w:vAlign w:val="bottom"/>
            <w:gridSpan w:val="11"/>
          </w:tcPr>
          <w:p>
            <w:pPr>
              <w:ind w:left="5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02"/>
              <w:spacing w:after="0"/>
              <w:rPr>
                <w:sz w:val="20"/>
                <w:szCs w:val="20"/>
                <w:color w:val="auto"/>
              </w:rPr>
            </w:pPr>
            <w:r>
              <w:rPr>
                <w:rFonts w:ascii="Arial" w:cs="Arial" w:eastAsia="Arial" w:hAnsi="Arial"/>
                <w:sz w:val="11"/>
                <w:szCs w:val="11"/>
                <w:b w:val="1"/>
                <w:bCs w:val="1"/>
                <w:color w:val="auto"/>
                <w:w w:val="86"/>
              </w:rPr>
              <w:t>4.</w:t>
            </w: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w w:val="96"/>
              </w:rPr>
              <w:t>Transaction</w:t>
            </w: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of</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0"/>
                <w:szCs w:val="10"/>
                <w:color w:val="auto"/>
              </w:rPr>
            </w:pP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382"/>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Acquired</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Disposed</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of (D)</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(Instr. 3, 4</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and 5)</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05/29/2026</w:t>
            </w:r>
          </w:p>
        </w:tc>
        <w:tc>
          <w:tcPr>
            <w:tcW w:w="1040" w:type="dxa"/>
            <w:vAlign w:val="bottom"/>
          </w:tcPr>
          <w:p>
            <w:pPr>
              <w:spacing w:after="0"/>
              <w:rPr>
                <w:sz w:val="20"/>
                <w:szCs w:val="20"/>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ind w:left="520"/>
              <w:spacing w:after="0"/>
              <w:rPr>
                <w:sz w:val="20"/>
                <w:szCs w:val="20"/>
                <w:color w:val="auto"/>
              </w:rPr>
            </w:pPr>
            <w:r>
              <w:rPr>
                <w:rFonts w:ascii="Times New Roman" w:cs="Times New Roman" w:eastAsia="Times New Roman" w:hAnsi="Times New Roman"/>
                <w:sz w:val="13"/>
                <w:szCs w:val="13"/>
                <w:color w:val="0000FF"/>
              </w:rPr>
              <w:t>103</w:t>
            </w:r>
          </w:p>
        </w:tc>
        <w:tc>
          <w:tcPr>
            <w:tcW w:w="220" w:type="dxa"/>
            <w:vAlign w:val="bottom"/>
          </w:tcPr>
          <w:p>
            <w:pPr>
              <w:spacing w:after="0"/>
              <w:rPr>
                <w:sz w:val="20"/>
                <w:szCs w:val="20"/>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(2)</w:t>
            </w:r>
          </w:p>
        </w:tc>
        <w:tc>
          <w:tcPr>
            <w:tcW w:w="320" w:type="dxa"/>
            <w:vAlign w:val="bottom"/>
          </w:tcPr>
          <w:p>
            <w:pPr>
              <w:spacing w:after="0"/>
              <w:rPr>
                <w:sz w:val="20"/>
                <w:szCs w:val="20"/>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0"/>
                <w:szCs w:val="10"/>
                <w:color w:val="008000"/>
              </w:rPr>
              <w:t>(2)</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1,035</w:t>
            </w:r>
          </w:p>
        </w:tc>
        <w:tc>
          <w:tcPr>
            <w:tcW w:w="20" w:type="dxa"/>
            <w:vAlign w:val="bottom"/>
          </w:tcPr>
          <w:p>
            <w:pPr>
              <w:spacing w:after="0"/>
              <w:rPr>
                <w:sz w:val="20"/>
                <w:szCs w:val="20"/>
                <w:color w:val="auto"/>
              </w:rPr>
            </w:pPr>
          </w:p>
        </w:tc>
        <w:tc>
          <w:tcPr>
            <w:tcW w:w="68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5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105</w:t>
            </w:r>
          </w:p>
        </w:tc>
        <w:tc>
          <w:tcPr>
            <w:tcW w:w="280" w:type="dxa"/>
            <w:vAlign w:val="bottom"/>
          </w:tcPr>
          <w:p>
            <w:pPr>
              <w:spacing w:after="0"/>
              <w:rPr>
                <w:sz w:val="20"/>
                <w:szCs w:val="20"/>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 UNIT</w:t>
            </w:r>
          </w:p>
        </w:tc>
        <w:tc>
          <w:tcPr>
            <w:tcW w:w="80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jc w:val="right"/>
              <w:ind w:right="136"/>
              <w:spacing w:after="0" w:line="138"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-1950720</wp:posOffset>
            </wp:positionV>
            <wp:extent cx="28575" cy="1955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5580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convert into ordinary shares on the basis of ten ordinary shares per unit.</w:t>
      </w:r>
    </w:p>
    <w:p>
      <w:pPr>
        <w:spacing w:after="0" w:line="38" w:lineRule="exact"/>
        <w:rPr>
          <w:rFonts w:ascii="Times New Roman" w:cs="Times New Roman" w:eastAsia="Times New Roman" w:hAnsi="Times New Roman"/>
          <w:sz w:val="13"/>
          <w:szCs w:val="13"/>
          <w:color w:val="008000"/>
        </w:rPr>
      </w:pPr>
    </w:p>
    <w:p>
      <w:pPr>
        <w:ind w:left="40" w:right="16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6,383 RSUs, each representing the right to receive 10 ordinary shares. 3,272 RSUs vested on December 29, 2023. The remaining 3,111 RSUs vest in equal monthly installments of 103 RSUs at the end of each month, commencing January 29, 2024. The award will be fully vested on June 29, 2026.</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/s/ QING PAN</w:t>
            </w:r>
          </w:p>
        </w:tc>
        <w:tc>
          <w:tcPr>
            <w:tcW w:w="124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05/29/2026</w:t>
            </w: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7"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11246" TargetMode="External"/><Relationship Id="rId14" Type="http://schemas.openxmlformats.org/officeDocument/2006/relationships/hyperlink" Target="http://www.sec.gov/cgi-bin/browse-edgar?action=getcompany&amp;CIK=00014995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2026-05-29T07:21:44Z</dcterms:created>
  <dcterms:modified xsi:type="dcterms:W3CDTF">2026-05-29T07:21:44Z</dcterms:modified>
</cp:coreProperties>
</file>