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360"/>
        <w:spacing w:after="0"/>
        <w:rPr>
          <w:sz w:val="20"/>
          <w:szCs w:val="20"/>
          <w:color w:val="auto"/>
        </w:rPr>
      </w:pPr>
      <w:r>
        <w:rPr>
          <w:rFonts w:ascii="Arial" w:cs="Arial" w:eastAsia="Arial" w:hAnsi="Arial"/>
          <w:sz w:val="25"/>
          <w:szCs w:val="25"/>
          <w:b w:val="1"/>
          <w:bCs w:val="1"/>
          <w:color w:val="auto"/>
        </w:rPr>
        <w:t>Noah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 1687 Changyang Road, Changyang Valley, Building 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Shanghai 200090, 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(86) 21 8035 9221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1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Noah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Qing 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0"/>
        </w:trPr>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900" w:type="dxa"/>
            <w:vAlign w:val="bottom"/>
            <w:tcBorders>
              <w:top w:val="single" w:sz="8" w:color="auto"/>
            </w:tcBorders>
          </w:tcPr>
          <w:p>
            <w:pPr>
              <w:spacing w:after="0"/>
              <w:rPr>
                <w:sz w:val="18"/>
                <w:szCs w:val="18"/>
                <w:color w:val="auto"/>
              </w:rPr>
            </w:pPr>
          </w:p>
        </w:tc>
      </w:tr>
      <w:tr>
        <w:trPr>
          <w:trHeight w:val="175"/>
        </w:trPr>
        <w:tc>
          <w:tcPr>
            <w:tcW w:w="136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Exhibit 99.1</w:t>
              </w:r>
            </w:hyperlink>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1"/>
        </w:trPr>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 ANNOUNCES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FOR THE THIRD QUARTER OF 2021</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SHANGHAI, November 24, 2021 — Noah Holdings Limited ("Noah" or the "Company") (NYSE: NOAH), a leading and pioneer wealth management service provider in China offering comprehensive one-stop advisory services on global investment and asset allocation primarily for high net worth (“HNW”) investors, today announced its unaudited financial results for the third quarter of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HIGHLIGHTS</w:t>
      </w:r>
    </w:p>
    <w:p>
      <w:pPr>
        <w:spacing w:after="0" w:line="225" w:lineRule="exact"/>
        <w:rPr>
          <w:sz w:val="20"/>
          <w:szCs w:val="20"/>
          <w:color w:val="auto"/>
        </w:rPr>
      </w:pPr>
    </w:p>
    <w:p>
      <w:pPr>
        <w:ind w:left="380" w:right="20" w:hanging="332"/>
        <w:spacing w:after="0" w:line="282"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the third quarter of 2021 were RMB908.9 million (US$141.1 million), a 5.8% increase from the corresponding period in 2020, and a</w:t>
      </w:r>
      <w:r>
        <w:rPr>
          <w:rFonts w:ascii="Arial" w:cs="Arial" w:eastAsia="Arial" w:hAnsi="Arial"/>
          <w:sz w:val="18"/>
          <w:szCs w:val="18"/>
          <w:b w:val="1"/>
          <w:bCs w:val="1"/>
          <w:color w:val="auto"/>
        </w:rPr>
        <w:t xml:space="preserve"> </w:t>
      </w:r>
      <w:r>
        <w:rPr>
          <w:rFonts w:ascii="Arial" w:cs="Arial" w:eastAsia="Arial" w:hAnsi="Arial"/>
          <w:sz w:val="18"/>
          <w:szCs w:val="18"/>
          <w:color w:val="auto"/>
        </w:rPr>
        <w:t>1.1% increase from the second quarter of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(RMB millions,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except percentages)</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Q3 2020</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Q3 2021</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YoY Change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2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4"/>
              </w:rPr>
              <w:t>627.7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Asset management</w:t>
            </w: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222.4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241.3</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businesses</w:t>
            </w: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r>
      <w:tr>
        <w:trPr>
          <w:trHeight w:val="223"/>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2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84"/>
              </w:rPr>
              <w:t>859.1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6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100" w:hanging="332"/>
        <w:spacing w:after="0" w:line="347"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Income from operations </w:t>
      </w:r>
      <w:r>
        <w:rPr>
          <w:rFonts w:ascii="Arial" w:cs="Arial" w:eastAsia="Arial" w:hAnsi="Arial"/>
          <w:sz w:val="16"/>
          <w:szCs w:val="16"/>
          <w:color w:val="auto"/>
        </w:rPr>
        <w:t>for the third quarter of 2021 was RMB228.9 million (US$35.5 million), a 34.1% decrease from the corresponding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2020, and a 31.8% decrease from the second quarter of 2021, due to our budgeted strategic investments on compensation and marketing activities.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(RMB millions,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except percentages)</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Q3 2020</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Q3 2021</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YoY Change</w:t>
            </w:r>
          </w:p>
        </w:tc>
        <w:tc>
          <w:tcPr>
            <w:tcW w:w="220" w:type="dxa"/>
            <w:vAlign w:val="bottom"/>
            <w:tcBorders>
              <w:bottom w:val="single" w:sz="8" w:color="CCEEFF"/>
            </w:tcBorders>
            <w:gridSpan w:val="2"/>
          </w:tcPr>
          <w:p>
            <w:pPr>
              <w:spacing w:after="0"/>
              <w:rPr>
                <w:sz w:val="20"/>
                <w:szCs w:val="20"/>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businesses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income from operations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6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80" w:hanging="332"/>
        <w:spacing w:after="0" w:line="282"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Noah shareholders </w:t>
      </w:r>
      <w:r>
        <w:rPr>
          <w:rFonts w:ascii="Arial" w:cs="Arial" w:eastAsia="Arial" w:hAnsi="Arial"/>
          <w:sz w:val="18"/>
          <w:szCs w:val="18"/>
          <w:color w:val="auto"/>
        </w:rPr>
        <w:t>for the third quarter of 2021 was RMB273.2 million (US$42.4 million), a 4.3% decrease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period in 2020, and a 10.6% decrease from the second quarter of 2021.</w:t>
      </w:r>
    </w:p>
    <w:p>
      <w:pPr>
        <w:spacing w:after="0" w:line="165" w:lineRule="exact"/>
        <w:rPr>
          <w:rFonts w:ascii="Arial" w:cs="Arial" w:eastAsia="Arial" w:hAnsi="Arial"/>
          <w:sz w:val="18"/>
          <w:szCs w:val="18"/>
          <w:color w:val="auto"/>
        </w:rPr>
      </w:pPr>
    </w:p>
    <w:p>
      <w:pPr>
        <w:ind w:left="380" w:right="640" w:hanging="332"/>
        <w:spacing w:after="0" w:line="188" w:lineRule="auto"/>
        <w:tabs>
          <w:tab w:leader="none" w:pos="38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b w:val="1"/>
          <w:bCs w:val="1"/>
          <w:color w:val="auto"/>
        </w:rPr>
        <w:t>Non-GAAP</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net income attributable to Noah shareholders </w:t>
      </w:r>
      <w:r>
        <w:rPr>
          <w:rFonts w:ascii="Arial" w:cs="Arial" w:eastAsia="Arial" w:hAnsi="Arial"/>
          <w:sz w:val="18"/>
          <w:szCs w:val="18"/>
          <w:color w:val="auto"/>
        </w:rPr>
        <w:t>for the third quarter of 2021 was RMB284.2 million (US$44.1 million), a 4.2%</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from the corresponding period in 2020, and a 15.7% decrease from the second quarter of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OPERATIONAL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Wealth Management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offer investment products and provide value-added services to high net worth investors in China and overseas for our wealth management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Noah primarily distributes private equity, private secondary, mutual funds and other products denominated in RMB and other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6" w:lineRule="exact"/>
        <w:rPr>
          <w:sz w:val="20"/>
          <w:szCs w:val="20"/>
          <w:color w:val="auto"/>
        </w:rPr>
      </w:pPr>
    </w:p>
    <w:p>
      <w:pPr>
        <w:jc w:val="both"/>
        <w:ind w:right="220" w:firstLine="8"/>
        <w:spacing w:after="0" w:line="209"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Noah’s Non-GAAP financial measures are its corresponding GAAP financial measures excluding the effects of all forms of share-based compensation, non-recurring share-based settlement expenses and net of relevant tax impact, if any. See “Reconciliation of GAAP to Non-GAAP Results” at the end of this press release.</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380" w:right="380" w:hanging="332"/>
        <w:spacing w:after="0" w:line="282"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Total number of registered clients </w:t>
      </w:r>
      <w:r>
        <w:rPr>
          <w:rFonts w:ascii="Arial" w:cs="Arial" w:eastAsia="Arial" w:hAnsi="Arial"/>
          <w:sz w:val="18"/>
          <w:szCs w:val="18"/>
          <w:color w:val="auto"/>
        </w:rPr>
        <w:t>as of September 30, 2021 was 406,420, a 16.0% increase from September 30, 2020 and a 2.3% increase from</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2021.</w:t>
      </w:r>
    </w:p>
    <w:p>
      <w:pPr>
        <w:spacing w:after="0" w:line="165" w:lineRule="exact"/>
        <w:rPr>
          <w:rFonts w:ascii="Arial" w:cs="Arial" w:eastAsia="Arial" w:hAnsi="Arial"/>
          <w:sz w:val="18"/>
          <w:szCs w:val="18"/>
          <w:color w:val="auto"/>
        </w:rPr>
      </w:pPr>
    </w:p>
    <w:p>
      <w:pPr>
        <w:ind w:left="380" w:right="80" w:hanging="332"/>
        <w:spacing w:after="0" w:line="213" w:lineRule="auto"/>
        <w:tabs>
          <w:tab w:leader="none" w:pos="38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b w:val="1"/>
          <w:bCs w:val="1"/>
          <w:color w:val="auto"/>
        </w:rPr>
        <w:t>Total number of active clients</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excluded mutual fund-only clients during the third quarter of 2021 was 5,606, a 25.5% increase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period in 2020 and a 19.9% increase from the second quarter of 2021. Counting in mutual fund-only clients, the total number of clients who transacted with us during the third quarter of 2021 was 21,269, a 3.7% increase from the third quarter of 2020, and a 4.8% increase from the second quarter of 2021.</w:t>
      </w:r>
    </w:p>
    <w:p>
      <w:pPr>
        <w:spacing w:after="0" w:line="198" w:lineRule="exact"/>
        <w:rPr>
          <w:rFonts w:ascii="Arial" w:cs="Arial" w:eastAsia="Arial" w:hAnsi="Arial"/>
          <w:sz w:val="36"/>
          <w:szCs w:val="36"/>
          <w:color w:val="auto"/>
          <w:vertAlign w:val="superscript"/>
        </w:rPr>
      </w:pPr>
    </w:p>
    <w:p>
      <w:pPr>
        <w:ind w:left="380" w:right="40" w:hanging="332"/>
        <w:spacing w:after="0" w:line="282"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Aggregate value of investment products distributed </w:t>
      </w:r>
      <w:r>
        <w:rPr>
          <w:rFonts w:ascii="Arial" w:cs="Arial" w:eastAsia="Arial" w:hAnsi="Arial"/>
          <w:sz w:val="18"/>
          <w:szCs w:val="18"/>
          <w:color w:val="auto"/>
        </w:rPr>
        <w:t>during the third quarter of 2021 was RMB24.1 billion (US$3.7 billion), a 16.4% decrease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corresponding period in 2020, due to decreased distribution in mutual fund products and private equity products.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Product type</w:t>
            </w: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w w:val="89"/>
              </w:rPr>
              <w:t>Three months ended 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w w:val="94"/>
              </w:rPr>
              <w:t>(RMB in billions, except percentages)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Mutual fund products</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Private secondary products</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products</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6"/>
        </w:trPr>
        <w:tc>
          <w:tcPr>
            <w:tcW w:w="5460" w:type="dxa"/>
            <w:vAlign w:val="bottom"/>
          </w:tcPr>
          <w:p>
            <w:pPr>
              <w:spacing w:after="0" w:line="256" w:lineRule="exact"/>
              <w:rPr>
                <w:sz w:val="20"/>
                <w:szCs w:val="20"/>
                <w:color w:val="auto"/>
              </w:rPr>
            </w:pPr>
            <w:r>
              <w:rPr>
                <w:rFonts w:ascii="Arial" w:cs="Arial" w:eastAsia="Arial" w:hAnsi="Arial"/>
                <w:sz w:val="18"/>
                <w:szCs w:val="18"/>
                <w:color w:val="auto"/>
              </w:rPr>
              <w:t>Other products</w:t>
            </w:r>
            <w:r>
              <w:rPr>
                <w:rFonts w:ascii="Arial" w:cs="Arial" w:eastAsia="Arial" w:hAnsi="Arial"/>
                <w:sz w:val="29"/>
                <w:szCs w:val="29"/>
                <w:b w:val="1"/>
                <w:bCs w:val="1"/>
                <w:color w:val="auto"/>
                <w:vertAlign w:val="superscript"/>
              </w:rPr>
              <w:t>3</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22"/>
                <w:szCs w:val="22"/>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 products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400" w:hanging="332"/>
        <w:spacing w:after="0" w:line="282"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Coverage network </w:t>
      </w:r>
      <w:r>
        <w:rPr>
          <w:rFonts w:ascii="Arial" w:cs="Arial" w:eastAsia="Arial" w:hAnsi="Arial"/>
          <w:sz w:val="18"/>
          <w:szCs w:val="18"/>
          <w:color w:val="auto"/>
        </w:rPr>
        <w:t>in mainland China covers 81 cities as of September 30, 2021, compared with 81 cities as of June 30, 2021, and 79 cities as of</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w:t>
      </w:r>
    </w:p>
    <w:p>
      <w:pPr>
        <w:spacing w:after="0" w:line="161" w:lineRule="exact"/>
        <w:rPr>
          <w:rFonts w:ascii="Arial" w:cs="Arial" w:eastAsia="Arial" w:hAnsi="Arial"/>
          <w:sz w:val="18"/>
          <w:szCs w:val="18"/>
          <w:color w:val="auto"/>
        </w:rPr>
      </w:pPr>
    </w:p>
    <w:p>
      <w:pPr>
        <w:ind w:left="380" w:right="220" w:hanging="332"/>
        <w:spacing w:after="0" w:line="282"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Number of relationship managers </w:t>
      </w:r>
      <w:r>
        <w:rPr>
          <w:rFonts w:ascii="Arial" w:cs="Arial" w:eastAsia="Arial" w:hAnsi="Arial"/>
          <w:sz w:val="18"/>
          <w:szCs w:val="18"/>
          <w:color w:val="auto"/>
        </w:rPr>
        <w:t>was 1,322 as of September 30, 2021, a 4.3% increase from June 30, 2021, and a 9.8% increase from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Management Business</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asset management business is conducted through Gopher Asset Management Co., Ltd. (“Gopher Asset Management”), a leading multi-asset manager in China with overseas offices in Hong Kong and the United States. Gopher Asset Management develops and manages assets ranging from private equity, real estate, public securities to multi-strategy investments denominated in RMB and other currencies.</w:t>
      </w:r>
    </w:p>
    <w:p>
      <w:pPr>
        <w:spacing w:after="0" w:line="161" w:lineRule="exact"/>
        <w:rPr>
          <w:sz w:val="20"/>
          <w:szCs w:val="20"/>
          <w:color w:val="auto"/>
        </w:rPr>
      </w:pPr>
    </w:p>
    <w:p>
      <w:pPr>
        <w:ind w:left="380" w:right="80" w:hanging="332"/>
        <w:spacing w:after="0" w:line="28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Total assets under management </w:t>
      </w:r>
      <w:r>
        <w:rPr>
          <w:rFonts w:ascii="Arial" w:cs="Arial" w:eastAsia="Arial" w:hAnsi="Arial"/>
          <w:sz w:val="18"/>
          <w:szCs w:val="18"/>
          <w:color w:val="auto"/>
        </w:rPr>
        <w:t>as of September 30, 2021 remained relatively stable at RMB156.1 billion (US$24.2 billion), as compared with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2021 and September 30, 2020.</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7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4"/>
              </w:rPr>
              <w:t>As of</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As of</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7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Distribution/</w:t>
            </w:r>
          </w:p>
        </w:tc>
        <w:tc>
          <w:tcPr>
            <w:tcW w:w="18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17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2021</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Growth</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Redemption</w:t>
            </w:r>
          </w:p>
        </w:tc>
        <w:tc>
          <w:tcPr>
            <w:tcW w:w="18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3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(RMB</w:t>
            </w: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billions, except</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72"/>
              </w:rPr>
              <w:t>percentages)</w:t>
            </w:r>
          </w:p>
        </w:tc>
        <w:tc>
          <w:tcPr>
            <w:tcW w:w="2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127.7</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w:t>
            </w:r>
          </w:p>
        </w:tc>
        <w:tc>
          <w:tcPr>
            <w:tcW w:w="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r>
      <w:tr>
        <w:trPr>
          <w:trHeight w:val="257"/>
        </w:trPr>
        <w:tc>
          <w:tcPr>
            <w:tcW w:w="2340" w:type="dxa"/>
            <w:vAlign w:val="bottom"/>
          </w:tcPr>
          <w:p>
            <w:pPr>
              <w:spacing w:after="0" w:line="256" w:lineRule="exact"/>
              <w:rPr>
                <w:sz w:val="20"/>
                <w:szCs w:val="20"/>
                <w:color w:val="auto"/>
              </w:rPr>
            </w:pPr>
            <w:r>
              <w:rPr>
                <w:rFonts w:ascii="Arial" w:cs="Arial" w:eastAsia="Arial" w:hAnsi="Arial"/>
                <w:sz w:val="18"/>
                <w:szCs w:val="18"/>
                <w:color w:val="auto"/>
              </w:rPr>
              <w:t>Public securities</w:t>
            </w:r>
            <w:r>
              <w:rPr>
                <w:rFonts w:ascii="Arial" w:cs="Arial" w:eastAsia="Arial" w:hAnsi="Arial"/>
                <w:sz w:val="29"/>
                <w:szCs w:val="29"/>
                <w:b w:val="1"/>
                <w:bCs w:val="1"/>
                <w:color w:val="auto"/>
                <w:vertAlign w:val="superscript"/>
              </w:rPr>
              <w:t>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22"/>
                <w:szCs w:val="22"/>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7.1%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Multi-strategies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23"/>
        </w:trPr>
        <w:tc>
          <w:tcPr>
            <w:tcW w:w="2340" w:type="dxa"/>
            <w:vAlign w:val="bottom"/>
          </w:tcPr>
          <w:p>
            <w:pPr>
              <w:spacing w:after="0"/>
              <w:rPr>
                <w:sz w:val="20"/>
                <w:szCs w:val="20"/>
                <w:color w:val="auto"/>
              </w:rPr>
            </w:pPr>
            <w:r>
              <w:rPr>
                <w:rFonts w:ascii="Arial" w:cs="Arial" w:eastAsia="Arial" w:hAnsi="Arial"/>
                <w:sz w:val="18"/>
                <w:szCs w:val="18"/>
                <w:b w:val="1"/>
                <w:bCs w:val="1"/>
                <w:color w:val="auto"/>
              </w:rPr>
              <w:t>All Investments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0"/>
          <w:szCs w:val="20"/>
          <w:color w:val="auto"/>
        </w:rPr>
      </w:pPr>
    </w:p>
    <w:p>
      <w:pPr>
        <w:ind w:right="60" w:firstLine="8"/>
        <w:spacing w:after="0" w:line="194" w:lineRule="auto"/>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“Active clients” for a given period refers to registered high net worth clients who purchase financial products distributed or provided by Noah during that given period, excluding clients who transacted on our online mutual fund platform.</w:t>
      </w:r>
    </w:p>
    <w:p>
      <w:pPr>
        <w:ind w:right="2040"/>
        <w:spacing w:after="0" w:line="237"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3</w:t>
      </w:r>
      <w:r>
        <w:rPr>
          <w:rFonts w:ascii="Arial" w:cs="Arial" w:eastAsia="Arial" w:hAnsi="Arial"/>
          <w:sz w:val="17"/>
          <w:szCs w:val="17"/>
          <w:color w:val="auto"/>
        </w:rPr>
        <w:t xml:space="preserve"> “Other products” refers to other investment products, which includes insurance products, multi-strategies products and others. </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The asset allocation/redemption of public securities also includes market appreciation or depreciation.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Other Businesses</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Since the fourth quarter of 2020, we have been transitioning our other businesses segment to “Noah Digital Intelligence”, with an aim to diversify distribution channels beyond our wealth management, and to provide more comprehensive services and investment products.</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Jingbo Wang, co-founder and CEO of Noah, said, “It is encouraging to see continued growth in the number of diamond card and black card clients, exceeding 8,000 in total; and that our active clients also increased by 25.5% year-on-year, indicating the positive results of our upgraded Noah Triangle client service model. Net revenues rose by 5.8% year-on-year, supported by historical high recurring income as long-duration private secondary products and private equity products accumulate into our AUA, creating the snow ball effect, amid the volatile market this quarter. Since the establishment of Noah, there has been no capital pool, no implicit guarantee, no duration mismatch, no leverage allocation, and no cross-border operations of funds. Our fully compliant operations in different countries and regions where we hold local licenses ensure our lifeline and future growth. Noah stays focused on serving HNW and ultra-HNW clients, and strives to become a professional wealth management service provider with ‘one meter in width and 1,000 meters in depth’, delivering suitable products to clients based on enhanced research capabilities and deeper understanding of our clients utilizing the KYC/KYP/KYA platform.”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the third quarter of 2021 were RMB908.9 million (US$141.1 million), a 5.8% increase from the corresponding period in 2020,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increased one-time commissions, performance-based income and other service fees.</w:t>
      </w:r>
    </w:p>
    <w:p>
      <w:pPr>
        <w:spacing w:after="0" w:line="16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Wealth Management Business</w:t>
      </w:r>
    </w:p>
    <w:p>
      <w:pPr>
        <w:spacing w:after="0" w:line="225" w:lineRule="exact"/>
        <w:rPr>
          <w:rFonts w:ascii="Arial" w:cs="Arial" w:eastAsia="Arial" w:hAnsi="Arial"/>
          <w:sz w:val="18"/>
          <w:szCs w:val="18"/>
          <w:color w:val="auto"/>
        </w:rPr>
      </w:pPr>
    </w:p>
    <w:p>
      <w:pPr>
        <w:ind w:left="660" w:right="300" w:hanging="328"/>
        <w:spacing w:after="0" w:line="312"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from one-time commissions </w:t>
      </w:r>
      <w:r>
        <w:rPr>
          <w:rFonts w:ascii="Arial" w:cs="Arial" w:eastAsia="Arial" w:hAnsi="Arial"/>
          <w:sz w:val="17"/>
          <w:szCs w:val="17"/>
          <w:color w:val="auto"/>
        </w:rPr>
        <w:t>for the third quarter of 2021 were RMB193.9 million (US$30.1 million), a 2.2% increase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period in 2020 due to an increase in private secondary products distributed in third quarter of 2021.</w:t>
      </w:r>
    </w:p>
    <w:p>
      <w:pPr>
        <w:spacing w:after="0" w:line="139" w:lineRule="exact"/>
        <w:rPr>
          <w:rFonts w:ascii="Arial" w:cs="Arial" w:eastAsia="Arial" w:hAnsi="Arial"/>
          <w:sz w:val="17"/>
          <w:szCs w:val="17"/>
          <w:color w:val="auto"/>
        </w:rPr>
      </w:pPr>
    </w:p>
    <w:p>
      <w:pPr>
        <w:ind w:left="660" w:right="340" w:hanging="328"/>
        <w:spacing w:after="0" w:line="347"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Net revenues from recurring service fees </w:t>
      </w:r>
      <w:r>
        <w:rPr>
          <w:rFonts w:ascii="Arial" w:cs="Arial" w:eastAsia="Arial" w:hAnsi="Arial"/>
          <w:sz w:val="16"/>
          <w:szCs w:val="16"/>
          <w:color w:val="auto"/>
        </w:rPr>
        <w:t>for the third quarter of 2021 were RMB391.2 million (US$60.7 million), a 2.8% increase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period in 2020. The increase was primarily due to accumulated effect of investment products previously distributed.</w:t>
      </w:r>
    </w:p>
    <w:p>
      <w:pPr>
        <w:spacing w:after="0" w:line="115" w:lineRule="exact"/>
        <w:rPr>
          <w:rFonts w:ascii="Arial" w:cs="Arial" w:eastAsia="Arial" w:hAnsi="Arial"/>
          <w:sz w:val="16"/>
          <w:szCs w:val="16"/>
          <w:color w:val="auto"/>
        </w:rPr>
      </w:pPr>
    </w:p>
    <w:p>
      <w:pPr>
        <w:ind w:left="660" w:right="180" w:hanging="328"/>
        <w:spacing w:after="0" w:line="312"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from performance-based income </w:t>
      </w:r>
      <w:r>
        <w:rPr>
          <w:rFonts w:ascii="Arial" w:cs="Arial" w:eastAsia="Arial" w:hAnsi="Arial"/>
          <w:sz w:val="17"/>
          <w:szCs w:val="17"/>
          <w:color w:val="auto"/>
        </w:rPr>
        <w:t>for the third quarter of 2021 were RMB37.7 million (US$5.9 million), an 11.9% increase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corresponding period in 2020, primarily due to an increase in performance-based income from private equity products.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left="660" w:right="760" w:hanging="328"/>
        <w:spacing w:after="0" w:line="312"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from other service fees </w:t>
      </w:r>
      <w:r>
        <w:rPr>
          <w:rFonts w:ascii="Arial" w:cs="Arial" w:eastAsia="Arial" w:hAnsi="Arial"/>
          <w:sz w:val="17"/>
          <w:szCs w:val="17"/>
          <w:color w:val="auto"/>
        </w:rPr>
        <w:t>for the third quarter of 2021 were RMB30.8 million (US$4.8 million), a 29.0% increase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period in 2020, primarily due to more value-added services Noah offers to its high net worth clients.</w:t>
      </w:r>
    </w:p>
    <w:p>
      <w:pPr>
        <w:spacing w:after="0" w:line="139"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Asset Management Business</w:t>
      </w:r>
    </w:p>
    <w:p>
      <w:pPr>
        <w:spacing w:after="0" w:line="225" w:lineRule="exact"/>
        <w:rPr>
          <w:rFonts w:ascii="Arial" w:cs="Arial" w:eastAsia="Arial" w:hAnsi="Arial"/>
          <w:sz w:val="18"/>
          <w:szCs w:val="18"/>
          <w:color w:val="auto"/>
        </w:rPr>
      </w:pPr>
    </w:p>
    <w:p>
      <w:pPr>
        <w:ind w:left="660" w:right="320" w:hanging="328"/>
        <w:spacing w:after="0" w:line="282"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Net revenues from recurring service fees </w:t>
      </w:r>
      <w:r>
        <w:rPr>
          <w:rFonts w:ascii="Arial" w:cs="Arial" w:eastAsia="Arial" w:hAnsi="Arial"/>
          <w:sz w:val="18"/>
          <w:szCs w:val="18"/>
          <w:color w:val="auto"/>
        </w:rPr>
        <w:t>for the third quarter of 2021 were RMB175.7 million (US$27.3 million), a 2.1% decrease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period in 2020, primarily due to redemptions of real estate assets.</w:t>
      </w:r>
    </w:p>
    <w:p>
      <w:pPr>
        <w:spacing w:after="0" w:line="161" w:lineRule="exact"/>
        <w:rPr>
          <w:rFonts w:ascii="Arial" w:cs="Arial" w:eastAsia="Arial" w:hAnsi="Arial"/>
          <w:sz w:val="18"/>
          <w:szCs w:val="18"/>
          <w:color w:val="auto"/>
        </w:rPr>
      </w:pPr>
    </w:p>
    <w:p>
      <w:pPr>
        <w:ind w:left="660" w:hanging="328"/>
        <w:spacing w:after="0" w:line="312"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from performance-based income </w:t>
      </w:r>
      <w:r>
        <w:rPr>
          <w:rFonts w:ascii="Arial" w:cs="Arial" w:eastAsia="Arial" w:hAnsi="Arial"/>
          <w:sz w:val="17"/>
          <w:szCs w:val="17"/>
          <w:color w:val="auto"/>
        </w:rPr>
        <w:t>for the third quarter of 2021 were RMB44.4 million (US$6.9 million), a 20.8% increase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period in 2020, primarily due to an increase in performance-based income from offshore private equity products.</w:t>
      </w:r>
    </w:p>
    <w:p>
      <w:pPr>
        <w:spacing w:after="0" w:line="139"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Other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for the third quarter of 2021 were RMB14.0 million (US$2.2 million), a 56.4% increase from the corresponding period in 2020.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Operating costs and expenses </w:t>
      </w:r>
      <w:r>
        <w:rPr>
          <w:rFonts w:ascii="Arial" w:cs="Arial" w:eastAsia="Arial" w:hAnsi="Arial"/>
          <w:sz w:val="18"/>
          <w:szCs w:val="18"/>
          <w:color w:val="auto"/>
        </w:rPr>
        <w:t>for the third quarter of 2021 were RMB680.1 million (US$105.5 million), a 32.9% increase from the corresponding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2020. Operating costs and expenses primarily consisted of compensation and benefits of RMB459.8 million (US$71.4 million), selling expenses of RMB114.3 million (US$17.7 million), general and administrative expenses of RMB77.1 million (US$12.0 million) and other operating expenses of RMB33.0 million (US$5.1 million).</w:t>
      </w:r>
    </w:p>
    <w:p>
      <w:pPr>
        <w:spacing w:after="0" w:line="180" w:lineRule="exact"/>
        <w:rPr>
          <w:sz w:val="20"/>
          <w:szCs w:val="20"/>
          <w:color w:val="auto"/>
        </w:rPr>
      </w:pPr>
    </w:p>
    <w:p>
      <w:pPr>
        <w:ind w:left="760" w:hanging="374"/>
        <w:spacing w:after="0" w:line="26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Operating costs and expenses for the wealth management business </w:t>
      </w:r>
      <w:r>
        <w:rPr>
          <w:rFonts w:ascii="Arial" w:cs="Arial" w:eastAsia="Arial" w:hAnsi="Arial"/>
          <w:sz w:val="18"/>
          <w:szCs w:val="18"/>
          <w:color w:val="auto"/>
        </w:rPr>
        <w:t>for the third quarter of 2021 were RMB510.5 million (US$79.2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 34.6% increase from the corresponding period in 2020, primarily due to an increase in compensation and benefits as well as selling and general and administrative expenses.</w:t>
      </w:r>
    </w:p>
    <w:p>
      <w:pPr>
        <w:spacing w:after="0" w:line="175" w:lineRule="exact"/>
        <w:rPr>
          <w:rFonts w:ascii="Arial" w:cs="Arial" w:eastAsia="Arial" w:hAnsi="Arial"/>
          <w:sz w:val="18"/>
          <w:szCs w:val="18"/>
          <w:color w:val="auto"/>
        </w:rPr>
      </w:pPr>
    </w:p>
    <w:p>
      <w:pPr>
        <w:ind w:left="760" w:right="100" w:hanging="374"/>
        <w:spacing w:after="0" w:line="312"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Operating costs and expenses for the asset management business </w:t>
      </w:r>
      <w:r>
        <w:rPr>
          <w:rFonts w:ascii="Arial" w:cs="Arial" w:eastAsia="Arial" w:hAnsi="Arial"/>
          <w:sz w:val="17"/>
          <w:szCs w:val="17"/>
          <w:color w:val="auto"/>
        </w:rPr>
        <w:t>for the third quarter of 2021 were RMB124.2 million (US$19.3 million), a</w:t>
      </w:r>
      <w:r>
        <w:rPr>
          <w:rFonts w:ascii="Arial" w:cs="Arial" w:eastAsia="Arial" w:hAnsi="Arial"/>
          <w:sz w:val="17"/>
          <w:szCs w:val="17"/>
          <w:b w:val="1"/>
          <w:bCs w:val="1"/>
          <w:color w:val="auto"/>
        </w:rPr>
        <w:t xml:space="preserve"> </w:t>
      </w:r>
      <w:r>
        <w:rPr>
          <w:rFonts w:ascii="Arial" w:cs="Arial" w:eastAsia="Arial" w:hAnsi="Arial"/>
          <w:sz w:val="17"/>
          <w:szCs w:val="17"/>
          <w:color w:val="auto"/>
        </w:rPr>
        <w:t>14.3% increase from the corresponding period in 2020, primarily due to an increase in compensation and benefits.</w:t>
      </w:r>
    </w:p>
    <w:p>
      <w:pPr>
        <w:spacing w:after="0" w:line="139" w:lineRule="exact"/>
        <w:rPr>
          <w:rFonts w:ascii="Arial" w:cs="Arial" w:eastAsia="Arial" w:hAnsi="Arial"/>
          <w:sz w:val="17"/>
          <w:szCs w:val="17"/>
          <w:color w:val="auto"/>
        </w:rPr>
      </w:pPr>
    </w:p>
    <w:p>
      <w:pPr>
        <w:ind w:left="760" w:right="280" w:hanging="374"/>
        <w:spacing w:after="0" w:line="347"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Operating costs and expenses for other businesses </w:t>
      </w:r>
      <w:r>
        <w:rPr>
          <w:rFonts w:ascii="Arial" w:cs="Arial" w:eastAsia="Arial" w:hAnsi="Arial"/>
          <w:sz w:val="16"/>
          <w:szCs w:val="16"/>
          <w:color w:val="auto"/>
        </w:rPr>
        <w:t>for the third quarter of 2021 were RMB45.4 million (US$7.0 million), a 90.7%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corresponding period in 2020, primarily due to increased depreciation expenses for our newly purchased headquarter buildings.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Margin</w:t>
      </w:r>
    </w:p>
    <w:p>
      <w:pPr>
        <w:spacing w:after="0" w:line="22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Operating margin </w:t>
      </w:r>
      <w:r>
        <w:rPr>
          <w:rFonts w:ascii="Arial" w:cs="Arial" w:eastAsia="Arial" w:hAnsi="Arial"/>
          <w:sz w:val="18"/>
          <w:szCs w:val="18"/>
          <w:color w:val="auto"/>
        </w:rPr>
        <w:t>for the third quarter of 2021 was 25.2%, compared with 40.4% for the corresponding period in 2020, primarily due to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benefits as well as selling expenses.</w:t>
      </w:r>
    </w:p>
    <w:p>
      <w:pPr>
        <w:spacing w:after="0" w:line="162" w:lineRule="exact"/>
        <w:rPr>
          <w:sz w:val="20"/>
          <w:szCs w:val="20"/>
          <w:color w:val="auto"/>
        </w:rPr>
      </w:pPr>
    </w:p>
    <w:p>
      <w:pPr>
        <w:ind w:left="760" w:right="60" w:hanging="374"/>
        <w:spacing w:after="0" w:line="314"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Operating margin for the wealth management business </w:t>
      </w:r>
      <w:r>
        <w:rPr>
          <w:rFonts w:ascii="Arial" w:cs="Arial" w:eastAsia="Arial" w:hAnsi="Arial"/>
          <w:sz w:val="16"/>
          <w:szCs w:val="16"/>
          <w:color w:val="auto"/>
        </w:rPr>
        <w:t>for the third quarter of 2021 was 21.9%, compared with 39.6% for the corresponding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 2020, due to less expenses incurred in the corresponding periods of 2020 due to the COVID-19 pandemic as well as private equity products are no longer distributed through wealth management business, but rather invested in by asset management business.</w:t>
      </w:r>
    </w:p>
    <w:p>
      <w:pPr>
        <w:spacing w:after="0" w:line="141" w:lineRule="exact"/>
        <w:rPr>
          <w:rFonts w:ascii="Arial" w:cs="Arial" w:eastAsia="Arial" w:hAnsi="Arial"/>
          <w:sz w:val="16"/>
          <w:szCs w:val="16"/>
          <w:color w:val="auto"/>
        </w:rPr>
      </w:pPr>
    </w:p>
    <w:p>
      <w:pPr>
        <w:ind w:left="760" w:right="200" w:hanging="374"/>
        <w:spacing w:after="0" w:line="282"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Operating margin for the asset management business </w:t>
      </w:r>
      <w:r>
        <w:rPr>
          <w:rFonts w:ascii="Arial" w:cs="Arial" w:eastAsia="Arial" w:hAnsi="Arial"/>
          <w:sz w:val="18"/>
          <w:szCs w:val="18"/>
          <w:color w:val="auto"/>
        </w:rPr>
        <w:t>for the third quarter of 2021 was 48.5%, compared with 51.1% for the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2020, due to an increase in compensation and benefits.</w:t>
      </w:r>
    </w:p>
    <w:p>
      <w:pPr>
        <w:spacing w:after="0" w:line="161" w:lineRule="exact"/>
        <w:rPr>
          <w:rFonts w:ascii="Arial" w:cs="Arial" w:eastAsia="Arial" w:hAnsi="Arial"/>
          <w:sz w:val="18"/>
          <w:szCs w:val="18"/>
          <w:color w:val="auto"/>
        </w:rPr>
      </w:pPr>
    </w:p>
    <w:p>
      <w:pPr>
        <w:ind w:left="760" w:right="340" w:hanging="374"/>
        <w:spacing w:after="0" w:line="26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Loss from operations for other businesses </w:t>
      </w:r>
      <w:r>
        <w:rPr>
          <w:rFonts w:ascii="Arial" w:cs="Arial" w:eastAsia="Arial" w:hAnsi="Arial"/>
          <w:sz w:val="18"/>
          <w:szCs w:val="18"/>
          <w:color w:val="auto"/>
        </w:rPr>
        <w:t>for the third quarter of 2021 was RMB31.4 million (US$4.9 million), compared with loss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RMB14.8 million in the corresponding period in 2020 due to reduced loan origination and more expenses from our purchased headquarter buildings.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Investment income </w:t>
      </w:r>
      <w:r>
        <w:rPr>
          <w:rFonts w:ascii="Arial" w:cs="Arial" w:eastAsia="Arial" w:hAnsi="Arial"/>
          <w:sz w:val="18"/>
          <w:szCs w:val="18"/>
          <w:color w:val="auto"/>
        </w:rPr>
        <w:t>for the third quarter of 2021 was RMB24.1 million (US$3.7 million), compared with RMB0.8 million for the corresponding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2020, due to a gain of fair value change from our certain equity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Income tax expenses </w:t>
      </w:r>
      <w:r>
        <w:rPr>
          <w:rFonts w:ascii="Arial" w:cs="Arial" w:eastAsia="Arial" w:hAnsi="Arial"/>
          <w:sz w:val="18"/>
          <w:szCs w:val="18"/>
          <w:color w:val="auto"/>
        </w:rPr>
        <w:t>for the third quarter of 2021 were RMB60.0 million (US$9.3 million), a 29.3% decrease from the corresponding period in 2020,</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Equity in Affiliates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Income from equity in affiliates </w:t>
      </w:r>
      <w:r>
        <w:rPr>
          <w:rFonts w:ascii="Arial" w:cs="Arial" w:eastAsia="Arial" w:hAnsi="Arial"/>
          <w:sz w:val="16"/>
          <w:szCs w:val="16"/>
          <w:color w:val="auto"/>
        </w:rPr>
        <w:t>for the third quarter of 2021 was RMB64.5 million (US$10.0 million), a 1,287.3% increase from the corresponding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2020, primarily due to net asset value increase of certain offshore funds of funds we manage and invest in as the general partner or manager.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Net Income</w:t>
      </w:r>
    </w:p>
    <w:p>
      <w:pPr>
        <w:spacing w:after="0" w:line="225" w:lineRule="exact"/>
        <w:rPr>
          <w:rFonts w:ascii="Arial" w:cs="Arial" w:eastAsia="Arial" w:hAnsi="Arial"/>
          <w:sz w:val="18"/>
          <w:szCs w:val="18"/>
          <w:color w:val="auto"/>
        </w:rPr>
      </w:pPr>
    </w:p>
    <w:p>
      <w:pPr>
        <w:ind w:left="1020" w:right="120" w:hanging="553"/>
        <w:spacing w:after="0" w:line="28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for the third quarter of 2021 was RMB271.4 million (US$42.1 million), a 4.4% decrease compared to the corresponding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2020.</w:t>
      </w:r>
    </w:p>
    <w:p>
      <w:pPr>
        <w:spacing w:after="0" w:line="161" w:lineRule="exact"/>
        <w:rPr>
          <w:rFonts w:ascii="Arial" w:cs="Arial" w:eastAsia="Arial" w:hAnsi="Arial"/>
          <w:sz w:val="18"/>
          <w:szCs w:val="18"/>
          <w:color w:val="auto"/>
        </w:rPr>
      </w:pPr>
    </w:p>
    <w:p>
      <w:pPr>
        <w:ind w:left="1020" w:hanging="553"/>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 margin </w:t>
      </w:r>
      <w:r>
        <w:rPr>
          <w:rFonts w:ascii="Arial" w:cs="Arial" w:eastAsia="Arial" w:hAnsi="Arial"/>
          <w:sz w:val="18"/>
          <w:szCs w:val="18"/>
          <w:color w:val="auto"/>
        </w:rPr>
        <w:t>for the third quarter of 2021 was 29.9%, down from 33.0% for the corresponding period in 2020.</w:t>
      </w:r>
    </w:p>
    <w:p>
      <w:pPr>
        <w:spacing w:after="0" w:line="225" w:lineRule="exact"/>
        <w:rPr>
          <w:rFonts w:ascii="Arial" w:cs="Arial" w:eastAsia="Arial" w:hAnsi="Arial"/>
          <w:sz w:val="18"/>
          <w:szCs w:val="18"/>
          <w:color w:val="auto"/>
        </w:rPr>
      </w:pPr>
    </w:p>
    <w:p>
      <w:pPr>
        <w:ind w:left="1020" w:right="260" w:hanging="553"/>
        <w:spacing w:after="0" w:line="28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Noah shareholders </w:t>
      </w:r>
      <w:r>
        <w:rPr>
          <w:rFonts w:ascii="Arial" w:cs="Arial" w:eastAsia="Arial" w:hAnsi="Arial"/>
          <w:sz w:val="18"/>
          <w:szCs w:val="18"/>
          <w:color w:val="auto"/>
        </w:rPr>
        <w:t>for the third quarter of 2021 was RMB273.2 million (US$42.4 million), a 4.3%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corresponding period in 2020.</w:t>
      </w:r>
    </w:p>
    <w:p>
      <w:pPr>
        <w:spacing w:after="0" w:line="161" w:lineRule="exact"/>
        <w:rPr>
          <w:rFonts w:ascii="Arial" w:cs="Arial" w:eastAsia="Arial" w:hAnsi="Arial"/>
          <w:sz w:val="18"/>
          <w:szCs w:val="18"/>
          <w:color w:val="auto"/>
        </w:rPr>
      </w:pPr>
    </w:p>
    <w:p>
      <w:pPr>
        <w:ind w:left="1020" w:right="80" w:hanging="553"/>
        <w:spacing w:after="0" w:line="28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 margin attributable to Noah shareholders </w:t>
      </w:r>
      <w:r>
        <w:rPr>
          <w:rFonts w:ascii="Arial" w:cs="Arial" w:eastAsia="Arial" w:hAnsi="Arial"/>
          <w:sz w:val="18"/>
          <w:szCs w:val="18"/>
          <w:color w:val="auto"/>
        </w:rPr>
        <w:t>for the third quarter of 2021 was 30.1%, down from 33.2% for the corresponding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61" w:lineRule="exact"/>
        <w:rPr>
          <w:rFonts w:ascii="Arial" w:cs="Arial" w:eastAsia="Arial" w:hAnsi="Arial"/>
          <w:sz w:val="18"/>
          <w:szCs w:val="18"/>
          <w:color w:val="auto"/>
        </w:rPr>
      </w:pPr>
    </w:p>
    <w:p>
      <w:pPr>
        <w:ind w:left="1020" w:right="360" w:hanging="553"/>
        <w:spacing w:after="0" w:line="347"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Noah shareholders per basic and diluted ADS </w:t>
      </w:r>
      <w:r>
        <w:rPr>
          <w:rFonts w:ascii="Arial" w:cs="Arial" w:eastAsia="Arial" w:hAnsi="Arial"/>
          <w:sz w:val="16"/>
          <w:szCs w:val="16"/>
          <w:color w:val="auto"/>
        </w:rPr>
        <w:t>for the third quarter of 2021 was RMB4.06 (US$0.63) and</w:t>
      </w:r>
      <w:r>
        <w:rPr>
          <w:rFonts w:ascii="Arial" w:cs="Arial" w:eastAsia="Arial" w:hAnsi="Arial"/>
          <w:sz w:val="16"/>
          <w:szCs w:val="16"/>
          <w:b w:val="1"/>
          <w:bCs w:val="1"/>
          <w:color w:val="auto"/>
        </w:rPr>
        <w:t xml:space="preserve"> </w:t>
      </w:r>
      <w:r>
        <w:rPr>
          <w:rFonts w:ascii="Arial" w:cs="Arial" w:eastAsia="Arial" w:hAnsi="Arial"/>
          <w:sz w:val="16"/>
          <w:szCs w:val="16"/>
          <w:color w:val="auto"/>
        </w:rPr>
        <w:t>RMB4.04 (US$0.63), respectively, compared with RMB4.63 and RMB4.60 respectively, for the corresponding period in 2020.</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Non-GAAP Net Income Attributable to Noah Shareholders</w:t>
      </w:r>
    </w:p>
    <w:p>
      <w:pPr>
        <w:spacing w:after="0" w:line="225" w:lineRule="exact"/>
        <w:rPr>
          <w:rFonts w:ascii="Arial" w:cs="Arial" w:eastAsia="Arial" w:hAnsi="Arial"/>
          <w:sz w:val="18"/>
          <w:szCs w:val="18"/>
          <w:color w:val="auto"/>
        </w:rPr>
      </w:pPr>
    </w:p>
    <w:p>
      <w:pPr>
        <w:ind w:left="1020" w:right="20" w:hanging="553"/>
        <w:spacing w:after="0" w:line="28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attributable to Noah shareholders </w:t>
      </w:r>
      <w:r>
        <w:rPr>
          <w:rFonts w:ascii="Arial" w:cs="Arial" w:eastAsia="Arial" w:hAnsi="Arial"/>
          <w:sz w:val="18"/>
          <w:szCs w:val="18"/>
          <w:color w:val="auto"/>
        </w:rPr>
        <w:t>for the third quarter of 2021 was RMB284.2 million (US$44.1 million), a 4.2%</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from the corresponding period in 2020.</w:t>
      </w:r>
    </w:p>
    <w:p>
      <w:pPr>
        <w:spacing w:after="0" w:line="161" w:lineRule="exact"/>
        <w:rPr>
          <w:rFonts w:ascii="Arial" w:cs="Arial" w:eastAsia="Arial" w:hAnsi="Arial"/>
          <w:sz w:val="18"/>
          <w:szCs w:val="18"/>
          <w:color w:val="auto"/>
        </w:rPr>
      </w:pPr>
    </w:p>
    <w:p>
      <w:pPr>
        <w:ind w:left="1020" w:right="940" w:hanging="553"/>
        <w:spacing w:after="0" w:line="28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net margin attributable to Noah shareholders </w:t>
      </w:r>
      <w:r>
        <w:rPr>
          <w:rFonts w:ascii="Arial" w:cs="Arial" w:eastAsia="Arial" w:hAnsi="Arial"/>
          <w:sz w:val="18"/>
          <w:szCs w:val="18"/>
          <w:color w:val="auto"/>
        </w:rPr>
        <w:t>for the third quarter of 2021 was 31.3%, down from 34.5%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period in 2020.</w:t>
      </w:r>
    </w:p>
    <w:p>
      <w:pPr>
        <w:spacing w:after="0" w:line="161" w:lineRule="exact"/>
        <w:rPr>
          <w:rFonts w:ascii="Arial" w:cs="Arial" w:eastAsia="Arial" w:hAnsi="Arial"/>
          <w:sz w:val="18"/>
          <w:szCs w:val="18"/>
          <w:color w:val="auto"/>
        </w:rPr>
      </w:pPr>
    </w:p>
    <w:p>
      <w:pPr>
        <w:ind w:left="1020" w:right="40" w:hanging="553"/>
        <w:spacing w:after="0" w:line="282"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attributable to Noah shareholders per diluted ADS </w:t>
      </w:r>
      <w:r>
        <w:rPr>
          <w:rFonts w:ascii="Arial" w:cs="Arial" w:eastAsia="Arial" w:hAnsi="Arial"/>
          <w:sz w:val="18"/>
          <w:szCs w:val="18"/>
          <w:color w:val="auto"/>
        </w:rPr>
        <w:t>for the third quarter of 2021 was RMB4.20 (US$0.65), down</w:t>
      </w:r>
      <w:r>
        <w:rPr>
          <w:rFonts w:ascii="Arial" w:cs="Arial" w:eastAsia="Arial" w:hAnsi="Arial"/>
          <w:sz w:val="18"/>
          <w:szCs w:val="18"/>
          <w:b w:val="1"/>
          <w:bCs w:val="1"/>
          <w:color w:val="auto"/>
        </w:rPr>
        <w:t xml:space="preserve"> </w:t>
      </w:r>
      <w:r>
        <w:rPr>
          <w:rFonts w:ascii="Arial" w:cs="Arial" w:eastAsia="Arial" w:hAnsi="Arial"/>
          <w:sz w:val="18"/>
          <w:szCs w:val="18"/>
          <w:color w:val="auto"/>
        </w:rPr>
        <w:t>from RMB4.78 for the corresponding period in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Balance Sheet and Cash Flow</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2021, the Company had RMB2,829.5 million (US$439.1 million) in cash and cash equivalents, compared with RMB2,686.4 million as of June 30, 2021, and RMB4,597.4 million as of September 30, 2020.</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inflow from the Company’s operating activities during the third quarter of 2021 was RMB361.0 million (US$56.0 million), compared to net cash inflow of RMB360.8 million in the corresponding period in 2020.</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cash outflow from the Company’s investing activities during the third quarter of 2021 was RMB234.3 million (US$36.4 million), compared to net cash inflow of RMB165.7 million in the corresponding period in 2020. The cash outflow was primarily due to additional investment of certain long-term investment as well as increased loan originated in this quarter.</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inflow from the Company’s financing activities was RMB9.5 million (US$1.5 million) in the third quarter of 2021, compared to net cash outflow of RMB22.9 million in the corresponding period in 2020, primarily due to proceeds of cash exercise of employee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FORECAST</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estimates that non-GAAP net income attributable to Noah shareholders for the full year 2021 will be in the range of RMB1.2 billion to RMB1.3 billion. This forecast reflects management’s current business outlook and is subject to further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Senior management will host a combined English and Chinese language conference call to discuss the Company’s third quarter 2021 unaudited financial results and recent business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may be accessed with the following details: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Conference call details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shd w:val="clear" w:color="auto" w:fill="F8F8F8"/>
          </w:tcPr>
          <w:p>
            <w:pPr>
              <w:ind w:left="100"/>
              <w:spacing w:after="0"/>
              <w:rPr>
                <w:sz w:val="20"/>
                <w:szCs w:val="20"/>
                <w:color w:val="auto"/>
              </w:rPr>
            </w:pPr>
            <w:r>
              <w:rPr>
                <w:rFonts w:ascii="Arial" w:cs="Arial" w:eastAsia="Arial" w:hAnsi="Arial"/>
                <w:sz w:val="18"/>
                <w:szCs w:val="18"/>
                <w:color w:val="auto"/>
              </w:rPr>
              <w:t>Date/Time</w:t>
            </w:r>
          </w:p>
        </w:tc>
        <w:tc>
          <w:tcPr>
            <w:tcW w:w="8520" w:type="dxa"/>
            <w:vAlign w:val="bottom"/>
            <w:shd w:val="clear" w:color="auto" w:fill="F8F8F8"/>
          </w:tcPr>
          <w:p>
            <w:pPr>
              <w:ind w:left="640"/>
              <w:spacing w:after="0"/>
              <w:rPr>
                <w:sz w:val="20"/>
                <w:szCs w:val="20"/>
                <w:color w:val="auto"/>
              </w:rPr>
            </w:pPr>
            <w:r>
              <w:rPr>
                <w:rFonts w:ascii="Arial" w:cs="Arial" w:eastAsia="Arial" w:hAnsi="Arial"/>
                <w:sz w:val="18"/>
                <w:szCs w:val="18"/>
                <w:color w:val="auto"/>
              </w:rPr>
              <w:t>Tuesday, November 23, 2021 at 7:00 p.m., U.S. Eastern Time</w:t>
            </w:r>
          </w:p>
        </w:tc>
      </w:tr>
      <w:tr>
        <w:trPr>
          <w:trHeight w:val="230"/>
        </w:trPr>
        <w:tc>
          <w:tcPr>
            <w:tcW w:w="2720" w:type="dxa"/>
            <w:vAlign w:val="bottom"/>
            <w:shd w:val="clear" w:color="auto" w:fill="F8F8F8"/>
          </w:tcPr>
          <w:p>
            <w:pPr>
              <w:spacing w:after="0"/>
              <w:rPr>
                <w:sz w:val="20"/>
                <w:szCs w:val="20"/>
                <w:color w:val="auto"/>
              </w:rPr>
            </w:pPr>
          </w:p>
        </w:tc>
        <w:tc>
          <w:tcPr>
            <w:tcW w:w="8520" w:type="dxa"/>
            <w:vAlign w:val="bottom"/>
            <w:shd w:val="clear" w:color="auto" w:fill="F8F8F8"/>
          </w:tcPr>
          <w:p>
            <w:pPr>
              <w:ind w:left="640"/>
              <w:spacing w:after="0"/>
              <w:rPr>
                <w:sz w:val="20"/>
                <w:szCs w:val="20"/>
                <w:color w:val="auto"/>
              </w:rPr>
            </w:pPr>
            <w:r>
              <w:rPr>
                <w:rFonts w:ascii="Arial" w:cs="Arial" w:eastAsia="Arial" w:hAnsi="Arial"/>
                <w:sz w:val="18"/>
                <w:szCs w:val="18"/>
                <w:color w:val="auto"/>
              </w:rPr>
              <w:t>Wednesday, November 24, 2021 at 8:00 a.m., Hong Kong Time</w:t>
            </w: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Dial in details</w:t>
            </w:r>
          </w:p>
        </w:tc>
        <w:tc>
          <w:tcPr>
            <w:tcW w:w="8520" w:type="dxa"/>
            <w:vAlign w:val="bottom"/>
          </w:tcPr>
          <w:p>
            <w:pPr>
              <w:spacing w:after="0"/>
              <w:rPr>
                <w:sz w:val="18"/>
                <w:szCs w:val="18"/>
                <w:color w:val="auto"/>
              </w:rPr>
            </w:pPr>
          </w:p>
        </w:tc>
      </w:tr>
      <w:tr>
        <w:trPr>
          <w:trHeight w:val="216"/>
        </w:trPr>
        <w:tc>
          <w:tcPr>
            <w:tcW w:w="2720" w:type="dxa"/>
            <w:vAlign w:val="bottom"/>
            <w:shd w:val="clear" w:color="auto" w:fill="F8F8F8"/>
          </w:tcPr>
          <w:p>
            <w:pPr>
              <w:ind w:left="100"/>
              <w:spacing w:after="0"/>
              <w:rPr>
                <w:sz w:val="20"/>
                <w:szCs w:val="20"/>
                <w:color w:val="auto"/>
              </w:rPr>
            </w:pPr>
            <w:r>
              <w:rPr>
                <w:rFonts w:ascii="Arial" w:cs="Arial" w:eastAsia="Arial" w:hAnsi="Arial"/>
                <w:sz w:val="18"/>
                <w:szCs w:val="18"/>
                <w:color w:val="auto"/>
              </w:rPr>
              <w:t>- United States Toll Free</w:t>
            </w:r>
          </w:p>
        </w:tc>
        <w:tc>
          <w:tcPr>
            <w:tcW w:w="8520" w:type="dxa"/>
            <w:vAlign w:val="bottom"/>
            <w:shd w:val="clear" w:color="auto" w:fill="F8F8F8"/>
          </w:tcPr>
          <w:p>
            <w:pPr>
              <w:ind w:left="640"/>
              <w:spacing w:after="0"/>
              <w:rPr>
                <w:sz w:val="20"/>
                <w:szCs w:val="20"/>
                <w:color w:val="auto"/>
              </w:rPr>
            </w:pPr>
            <w:r>
              <w:rPr>
                <w:rFonts w:ascii="Arial" w:cs="Arial" w:eastAsia="Arial" w:hAnsi="Arial"/>
                <w:sz w:val="18"/>
                <w:szCs w:val="18"/>
                <w:color w:val="auto"/>
              </w:rPr>
              <w:t>1-888-317-6003</w:t>
            </w: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 Mainland China Toll Free</w:t>
            </w:r>
          </w:p>
        </w:tc>
        <w:tc>
          <w:tcPr>
            <w:tcW w:w="8520" w:type="dxa"/>
            <w:vAlign w:val="bottom"/>
          </w:tcPr>
          <w:p>
            <w:pPr>
              <w:ind w:left="640"/>
              <w:spacing w:after="0"/>
              <w:rPr>
                <w:sz w:val="20"/>
                <w:szCs w:val="20"/>
                <w:color w:val="auto"/>
              </w:rPr>
            </w:pPr>
            <w:r>
              <w:rPr>
                <w:rFonts w:ascii="Arial" w:cs="Arial" w:eastAsia="Arial" w:hAnsi="Arial"/>
                <w:sz w:val="18"/>
                <w:szCs w:val="18"/>
                <w:color w:val="auto"/>
              </w:rPr>
              <w:t>4001-206-115</w:t>
            </w:r>
          </w:p>
        </w:tc>
      </w:tr>
      <w:tr>
        <w:trPr>
          <w:trHeight w:val="216"/>
        </w:trPr>
        <w:tc>
          <w:tcPr>
            <w:tcW w:w="2720" w:type="dxa"/>
            <w:vAlign w:val="bottom"/>
            <w:shd w:val="clear" w:color="auto" w:fill="F8F8F8"/>
          </w:tcPr>
          <w:p>
            <w:pPr>
              <w:ind w:left="100"/>
              <w:spacing w:after="0"/>
              <w:rPr>
                <w:sz w:val="20"/>
                <w:szCs w:val="20"/>
                <w:color w:val="auto"/>
              </w:rPr>
            </w:pPr>
            <w:r>
              <w:rPr>
                <w:rFonts w:ascii="Arial" w:cs="Arial" w:eastAsia="Arial" w:hAnsi="Arial"/>
                <w:sz w:val="18"/>
                <w:szCs w:val="18"/>
                <w:color w:val="auto"/>
              </w:rPr>
              <w:t>- Hong Kong Toll Free</w:t>
            </w:r>
          </w:p>
        </w:tc>
        <w:tc>
          <w:tcPr>
            <w:tcW w:w="8520" w:type="dxa"/>
            <w:vAlign w:val="bottom"/>
            <w:shd w:val="clear" w:color="auto" w:fill="F8F8F8"/>
          </w:tcPr>
          <w:p>
            <w:pPr>
              <w:ind w:left="640"/>
              <w:spacing w:after="0"/>
              <w:rPr>
                <w:sz w:val="20"/>
                <w:szCs w:val="20"/>
                <w:color w:val="auto"/>
              </w:rPr>
            </w:pPr>
            <w:r>
              <w:rPr>
                <w:rFonts w:ascii="Arial" w:cs="Arial" w:eastAsia="Arial" w:hAnsi="Arial"/>
                <w:sz w:val="18"/>
                <w:szCs w:val="18"/>
                <w:color w:val="auto"/>
              </w:rPr>
              <w:t>800-963-976</w:t>
            </w: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 International</w:t>
            </w:r>
          </w:p>
        </w:tc>
        <w:tc>
          <w:tcPr>
            <w:tcW w:w="8520" w:type="dxa"/>
            <w:vAlign w:val="bottom"/>
          </w:tcPr>
          <w:p>
            <w:pPr>
              <w:ind w:left="640"/>
              <w:spacing w:after="0"/>
              <w:rPr>
                <w:sz w:val="20"/>
                <w:szCs w:val="20"/>
                <w:color w:val="auto"/>
              </w:rPr>
            </w:pPr>
            <w:r>
              <w:rPr>
                <w:rFonts w:ascii="Arial" w:cs="Arial" w:eastAsia="Arial" w:hAnsi="Arial"/>
                <w:sz w:val="18"/>
                <w:szCs w:val="18"/>
                <w:color w:val="auto"/>
              </w:rPr>
              <w:t>1-412-317-6061</w:t>
            </w:r>
          </w:p>
        </w:tc>
      </w:tr>
      <w:tr>
        <w:trPr>
          <w:trHeight w:val="216"/>
        </w:trPr>
        <w:tc>
          <w:tcPr>
            <w:tcW w:w="2720" w:type="dxa"/>
            <w:vAlign w:val="bottom"/>
            <w:shd w:val="clear" w:color="auto" w:fill="F8F8F8"/>
          </w:tcPr>
          <w:p>
            <w:pPr>
              <w:ind w:left="100"/>
              <w:spacing w:after="0"/>
              <w:rPr>
                <w:sz w:val="20"/>
                <w:szCs w:val="20"/>
                <w:color w:val="auto"/>
              </w:rPr>
            </w:pPr>
            <w:r>
              <w:rPr>
                <w:rFonts w:ascii="Arial" w:cs="Arial" w:eastAsia="Arial" w:hAnsi="Arial"/>
                <w:sz w:val="18"/>
                <w:szCs w:val="18"/>
                <w:color w:val="auto"/>
              </w:rPr>
              <w:t>Conference Title</w:t>
            </w:r>
          </w:p>
        </w:tc>
        <w:tc>
          <w:tcPr>
            <w:tcW w:w="8520" w:type="dxa"/>
            <w:vAlign w:val="bottom"/>
            <w:shd w:val="clear" w:color="auto" w:fill="F8F8F8"/>
          </w:tcPr>
          <w:p>
            <w:pPr>
              <w:ind w:left="640"/>
              <w:spacing w:after="0"/>
              <w:rPr>
                <w:sz w:val="20"/>
                <w:szCs w:val="20"/>
                <w:color w:val="auto"/>
              </w:rPr>
            </w:pPr>
            <w:r>
              <w:rPr>
                <w:rFonts w:ascii="Arial" w:cs="Arial" w:eastAsia="Arial" w:hAnsi="Arial"/>
                <w:sz w:val="18"/>
                <w:szCs w:val="18"/>
                <w:color w:val="auto"/>
              </w:rPr>
              <w:t>Noah Holdings 3Q21 Earnings Conference Call</w:t>
            </w:r>
          </w:p>
        </w:tc>
      </w:tr>
      <w:tr>
        <w:trPr>
          <w:trHeight w:val="230"/>
        </w:trPr>
        <w:tc>
          <w:tcPr>
            <w:tcW w:w="2720" w:type="dxa"/>
            <w:vAlign w:val="bottom"/>
          </w:tcPr>
          <w:p>
            <w:pPr>
              <w:ind w:left="100"/>
              <w:spacing w:after="0"/>
              <w:rPr>
                <w:sz w:val="20"/>
                <w:szCs w:val="20"/>
                <w:color w:val="auto"/>
              </w:rPr>
            </w:pPr>
            <w:r>
              <w:rPr>
                <w:rFonts w:ascii="Arial" w:cs="Arial" w:eastAsia="Arial" w:hAnsi="Arial"/>
                <w:sz w:val="18"/>
                <w:szCs w:val="18"/>
                <w:color w:val="auto"/>
              </w:rPr>
              <w:t>Participant Password</w:t>
            </w:r>
          </w:p>
        </w:tc>
        <w:tc>
          <w:tcPr>
            <w:tcW w:w="8520" w:type="dxa"/>
            <w:vAlign w:val="bottom"/>
          </w:tcPr>
          <w:p>
            <w:pPr>
              <w:ind w:left="640"/>
              <w:spacing w:after="0"/>
              <w:rPr>
                <w:sz w:val="20"/>
                <w:szCs w:val="20"/>
                <w:color w:val="auto"/>
              </w:rPr>
            </w:pPr>
            <w:r>
              <w:rPr>
                <w:rFonts w:ascii="Arial" w:cs="Arial" w:eastAsia="Arial" w:hAnsi="Arial"/>
                <w:sz w:val="18"/>
                <w:szCs w:val="18"/>
                <w:color w:val="auto"/>
              </w:rPr>
              <w:t>1960485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0A0A0A"/>
        </w:rPr>
        <w:t>A telephone replay will be available starting one hour after the end of the conference call until December 1, 2021 at +1-877-344-7529 (US Toll Free) and 1-412-317-0088 (International Toll). The replay access code is 10161700.</w:t>
      </w:r>
    </w:p>
    <w:p>
      <w:pPr>
        <w:spacing w:after="0" w:line="170"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 xml:space="preserve">A live and archived webcast of the conference call will be available at Noah's investor relations website under the News &amp; Events section at </w:t>
      </w:r>
      <w:r>
        <w:rPr>
          <w:rFonts w:ascii="Arial" w:cs="Arial" w:eastAsia="Arial" w:hAnsi="Arial"/>
          <w:sz w:val="18"/>
          <w:szCs w:val="18"/>
          <w:u w:val="single" w:color="auto"/>
          <w:color w:val="auto"/>
        </w:rPr>
        <w:t>http://ir.noahgroup.com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NON-GAAP MEASURES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disclosing financial results prepared in accordance with U.S. GAAP, the Company’s earnings release contains non-GAAP financial measures excluding the effects of all forms of share-based compensation, non-recurring share-based settlement expenses and net of tax impact, if any. See “Reconciliation of GAAP to Non-GAAP Results” at the end of this press release.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non-GAAP financial measures disclosed by the Company should not be considered a substitute for financial measures prepared in accordance with U.S. GAAP. The financial results reported in accordance with U.S. GAAP and reconciliation of GAAP to non-GAAP results should be carefully evaluated. The non- GAAP financial measures used by the Company may be prepared differently from and, therefore, may not be comparable to similarly titled measures used by other companies.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right="40"/>
        <w:spacing w:after="0" w:line="301" w:lineRule="auto"/>
        <w:rPr>
          <w:sz w:val="20"/>
          <w:szCs w:val="20"/>
          <w:color w:val="auto"/>
        </w:rPr>
      </w:pPr>
      <w:r>
        <w:rPr>
          <w:rFonts w:ascii="Arial" w:cs="Arial" w:eastAsia="Arial" w:hAnsi="Arial"/>
          <w:sz w:val="16"/>
          <w:szCs w:val="16"/>
          <w:color w:val="auto"/>
        </w:rPr>
        <w:t>When evaluating the Company’s operating performance in the periods presented, management reviewed the foregoing non-GAAP net income attributable to Noah shareholders and per diluted ADS and non-GAAP net margin attributable to Noah shareholders to supplement U.S. GAAP financial data. As such, the Company’s management believes that the presentation of the non-GAAP financial measures provides important supplemental information to investors regarding financial and business trends relating to its results of operations in a manner consistent with that used by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NOAH HOLDINGS LIMITED</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Noah Holdings Limited (NYSE: NOAH) is a leading and pioneer wealth management service provider in China offering comprehensive one-stop advisory services on global investment and asset allocation primarily for high net worth investors. In the first nine months of 2021, Noah distributed RMB76.2 billion (US$11.8 billion) of investment products. Through Gopher Asset Management, Noah had assets under management of RMB156.1 billion (US$24.2 billion) as of September 30, 2021.</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Noah’s wealth management business primarily distributes private equity, private secondary, mutual fund and other products denominated in RMB and other currencies. Noah delivers customized financial solutions to clients through a network of 1,322 relationship managers in 81 cities in mainland China, and serves the international investment needs of its clients through offices in Hong Kong, Taiwan, United States and Singapore. The Company’s wealth management business had 406,420 registered clients as of September 30, 2021. As a leading alternative multi-asset manager in China, Gopher Asset Management manages private equity, real estate, public securities, multi-strategy and other investments denominated in RMB and other currencies. The Company also provides other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Noah at ir.noahgroup.com.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this announcement, the unaudited financial results for the third quarter of 2021 ended September 30, 2021 are stated in RMB. This announcement contains currency conversions of certain RMB amounts into US$ at specified rates solely for the convenience of the reader. Unless otherwise noted, all translations from RMB to US$ are made at a rate of RMB6.4434 to US$1.00, the effective noon buying rate for September 30, 2021 as set forth in the H.10 statistical release of the Federal Reserve Board.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outlook for 2021 and quotations from management in this announcement, as well as Noah’s strategic and operational plans, contain forward-looking statements. Noah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in China; and its ability to effectively protect its intellectual property rights and not to infringe on the intellectual property rights of others. Further information regarding these and other risks is included in Noah’s filings with the U.S. Securities and Exchange Commission, including its annual reports on Form 20-F.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Sonia 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+86-21-8035-8372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ir@noahgroup.com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FINANCIAL AND OPERATIONAL TABLES FOLLOW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June 30,</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4"/>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3700" w:type="dxa"/>
            <w:vAlign w:val="bottom"/>
            <w:gridSpan w:val="2"/>
          </w:tcPr>
          <w:p>
            <w:pPr>
              <w:jc w:val="right"/>
              <w:ind w:right="3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USD'000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2,686,422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2,829,481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439,129</w:t>
            </w: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10,067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3,227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96,050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108,313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16,810</w:t>
            </w: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470,265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504,113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78,237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receivable, net</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515,194</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634,774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98,515</w:t>
            </w: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Amounts due from related parties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643,972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594,047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92,195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239,997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w:t>
            </w:r>
          </w:p>
        </w:tc>
        <w:tc>
          <w:tcPr>
            <w:tcW w:w="0" w:type="dxa"/>
            <w:vAlign w:val="bottom"/>
          </w:tcPr>
          <w:p>
            <w:pPr>
              <w:spacing w:after="0"/>
              <w:rPr>
                <w:sz w:val="1"/>
                <w:szCs w:val="1"/>
                <w:color w:val="auto"/>
              </w:rPr>
            </w:pPr>
          </w:p>
        </w:tc>
      </w:tr>
      <w:tr>
        <w:trPr>
          <w:trHeight w:val="210"/>
        </w:trPr>
        <w:tc>
          <w:tcPr>
            <w:tcW w:w="43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4,661,967</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4,883,888</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investments, net</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554,280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665,237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103,243</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Investment in affiliates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1,258,829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1,296,559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201,223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2,642,584</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2,619,768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406,582</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Operating lease right-of-use assets, net</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256,597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242,660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37,660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223,801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223,803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34,734</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199,232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171,114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26,556</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9,797,290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10,103,029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Accrued payroll and welfare expenses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491,716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514,420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79,837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84,675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105,132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96,523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103,807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16,111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liabilities</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460,315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444,935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69,053</w:t>
            </w: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554,383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529,049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82,107</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1,687,612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1,697,343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169,167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155,882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4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241,084</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239,536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37,175</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4040" w:type="dxa"/>
            <w:vAlign w:val="bottom"/>
            <w:gridSpan w:val="3"/>
          </w:tcPr>
          <w:p>
            <w:pPr>
              <w:jc w:val="right"/>
              <w:ind w:right="340"/>
              <w:spacing w:after="0"/>
              <w:rPr>
                <w:sz w:val="20"/>
                <w:szCs w:val="20"/>
                <w:color w:val="auto"/>
              </w:rPr>
            </w:pPr>
            <w:r>
              <w:rPr>
                <w:rFonts w:ascii="Arial" w:cs="Arial" w:eastAsia="Arial" w:hAnsi="Arial"/>
                <w:sz w:val="18"/>
                <w:szCs w:val="18"/>
                <w:color w:val="auto"/>
              </w:rPr>
              <w:t>109,134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113,670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4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2,206,997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2,206,431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Equity</w:t>
            </w:r>
          </w:p>
        </w:tc>
        <w:tc>
          <w:tcPr>
            <w:tcW w:w="24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7,590,293</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7,896,598</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1,225,533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4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9,797,290</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10,103,029</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40" w:type="dxa"/>
            <w:vAlign w:val="bottom"/>
            <w:vMerge w:val="restart"/>
          </w:tcPr>
          <w:p>
            <w:pPr>
              <w:jc w:val="right"/>
              <w:ind w:right="103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RMB'000, except for USD data, per ADS data and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6"/>
              </w:rPr>
              <w:t>Three months ended</w:t>
            </w:r>
          </w:p>
        </w:tc>
        <w:tc>
          <w:tcPr>
            <w:tcW w:w="1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38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w w:val="93"/>
              </w:rPr>
              <w:t>September 30,</w:t>
            </w:r>
          </w:p>
        </w:tc>
        <w:tc>
          <w:tcPr>
            <w:tcW w:w="120" w:type="dxa"/>
            <w:vAlign w:val="bottom"/>
          </w:tcPr>
          <w:p>
            <w:pPr>
              <w:spacing w:after="0"/>
              <w:rPr>
                <w:sz w:val="16"/>
                <w:szCs w:val="16"/>
                <w:color w:val="auto"/>
              </w:rPr>
            </w:pPr>
          </w:p>
        </w:tc>
        <w:tc>
          <w:tcPr>
            <w:tcW w:w="150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94"/>
              </w:rPr>
              <w:t>September 30,</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w w:val="94"/>
              </w:rPr>
              <w:t>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40" w:type="dxa"/>
            <w:vAlign w:val="bottom"/>
            <w:gridSpan w:val="2"/>
          </w:tcPr>
          <w:p>
            <w:pPr>
              <w:jc w:val="right"/>
              <w:ind w:right="4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USD'000</w:t>
            </w: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Revenues from others: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183,733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200,075</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259,364</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40,253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income</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27,217</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26,796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Other service fees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33,985</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51,690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8,022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 from others</w:t>
            </w: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386,277</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521,583</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80,949</w:t>
            </w:r>
          </w:p>
        </w:tc>
        <w:tc>
          <w:tcPr>
            <w:tcW w:w="2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Revenues from funds Gopher manages: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71,112</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32,113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363,274</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309,532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48,039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income</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43,673</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55,645</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 from funds Gopher manages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397,290</w:t>
            </w: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61,659</w:t>
            </w: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918,873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Less: VAT related surcharges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(5,282)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(9,958)</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(1,545)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859,054</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908,915</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141,063</w:t>
            </w:r>
          </w:p>
        </w:tc>
        <w:tc>
          <w:tcPr>
            <w:tcW w:w="2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Relationship managers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(144,977)</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(178,589)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(27,717)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(217,549)</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(281,220)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180"/>
              <w:spacing w:after="0"/>
              <w:rPr>
                <w:sz w:val="20"/>
                <w:szCs w:val="20"/>
                <w:color w:val="auto"/>
              </w:rPr>
            </w:pPr>
            <w:r>
              <w:rPr>
                <w:rFonts w:ascii="Arial" w:cs="Arial" w:eastAsia="Arial" w:hAnsi="Arial"/>
                <w:sz w:val="18"/>
                <w:szCs w:val="18"/>
                <w:color w:val="auto"/>
              </w:rPr>
              <w:t>Total compensation and benefits</w:t>
            </w: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(362,526)</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(459,809)</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(71,362)</w:t>
            </w:r>
          </w:p>
        </w:tc>
        <w:tc>
          <w:tcPr>
            <w:tcW w:w="260" w:type="dxa"/>
            <w:vAlign w:val="bottom"/>
            <w:vMerge w:val="continue"/>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(69,882)</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(114,307)</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(61,656)</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(77,129)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(11,970)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(6,582)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(23,129)</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(33,030)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(5,126)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grants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10,552</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10,804</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Total operating costs and expenses</w:t>
            </w: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(511,807)</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(680,053)</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(105,543)</w:t>
            </w:r>
          </w:p>
        </w:tc>
        <w:tc>
          <w:tcPr>
            <w:tcW w:w="260" w:type="dxa"/>
            <w:vAlign w:val="bottom"/>
            <w:vMerge w:val="continue"/>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228,862</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12,080</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16,156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24,109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3,742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3,110.3%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expenses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4,041</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(824)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38,004</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Income before taxes and income from equity in affiliates</w:t>
            </w:r>
          </w:p>
        </w:tc>
        <w:tc>
          <w:tcPr>
            <w:tcW w:w="1220" w:type="dxa"/>
            <w:vAlign w:val="bottom"/>
          </w:tcPr>
          <w:p>
            <w:pPr>
              <w:jc w:val="right"/>
              <w:spacing w:after="0"/>
              <w:rPr>
                <w:sz w:val="20"/>
                <w:szCs w:val="20"/>
                <w:color w:val="auto"/>
              </w:rPr>
            </w:pPr>
            <w:r>
              <w:rPr>
                <w:rFonts w:ascii="Arial" w:cs="Arial" w:eastAsia="Arial" w:hAnsi="Arial"/>
                <w:sz w:val="18"/>
                <w:szCs w:val="18"/>
                <w:color w:val="auto"/>
              </w:rPr>
              <w:t>364,119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266,866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41,418</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(84,944)</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(60,045)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Income from equity in affiliates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4,652</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64,536</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10,016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1,287.3%</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283,827</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271,357</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2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(1,843)</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Noah shareholders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Income per ADS, basic</w:t>
            </w: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4.63</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4.06</w:t>
            </w:r>
          </w:p>
        </w:tc>
        <w:tc>
          <w:tcPr>
            <w:tcW w:w="28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0.63</w:t>
            </w:r>
          </w:p>
        </w:tc>
        <w:tc>
          <w:tcPr>
            <w:tcW w:w="260" w:type="dxa"/>
            <w:vAlign w:val="bottom"/>
            <w:vMerge w:val="continue"/>
          </w:tcPr>
          <w:p>
            <w:pPr>
              <w:spacing w:after="0"/>
              <w:rPr>
                <w:sz w:val="17"/>
                <w:szCs w:val="17"/>
                <w:color w:val="auto"/>
              </w:rPr>
            </w:pP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per ADS, diluted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Margin analysis: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margin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25.2%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margin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Weighted average ADS equivalent</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61,723,592</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67,253,930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67,253,930</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62,075,224</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67,641,457</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67,641,457</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ADS equivalent outstanding at end of period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61,752,197</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60,132,192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60,132,192</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520" w:right="3100" w:hanging="5512"/>
        <w:spacing w:after="0" w:line="527" w:lineRule="auto"/>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all outstanding ordinary shares are represented by ADSs. Each ordinary share represents two ADSs.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1"/>
              </w:rPr>
              <w:t>Three months ended</w:t>
            </w:r>
          </w:p>
        </w:tc>
        <w:tc>
          <w:tcPr>
            <w:tcW w:w="1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September 30,</w:t>
            </w:r>
          </w:p>
        </w:tc>
        <w:tc>
          <w:tcPr>
            <w:tcW w:w="20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September 30,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4"/>
              </w:rPr>
              <w:t>September 30,</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440" w:type="dxa"/>
            <w:vAlign w:val="bottom"/>
            <w:gridSpan w:val="2"/>
          </w:tcPr>
          <w:p>
            <w:pPr>
              <w:jc w:val="right"/>
              <w:ind w:right="4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USD'000</w:t>
            </w: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283,827</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271,357</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(108,684)</w:t>
            </w:r>
          </w:p>
        </w:tc>
        <w:tc>
          <w:tcPr>
            <w:tcW w:w="1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(32,357)</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8"/>
              </w:rPr>
              <w:t>Fair value fluctuation of available for sale Investment (after tax)</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109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175,143</w:t>
            </w:r>
          </w:p>
        </w:tc>
        <w:tc>
          <w:tcPr>
            <w:tcW w:w="1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239,109</w:t>
            </w:r>
          </w:p>
        </w:tc>
        <w:tc>
          <w:tcPr>
            <w:tcW w:w="3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37,110</w:t>
            </w:r>
          </w:p>
        </w:tc>
        <w:tc>
          <w:tcPr>
            <w:tcW w:w="3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4"/>
              </w:rPr>
              <w:t>Less: Comprehensive loss attributable to non-controlling interests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(1,694)</w:t>
            </w: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(1,845)</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Noah shareholders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gridSpan w:val="6"/>
          </w:tcPr>
          <w:p>
            <w:pPr>
              <w:ind w:left="1140"/>
              <w:spacing w:after="0"/>
              <w:rPr>
                <w:sz w:val="20"/>
                <w:szCs w:val="20"/>
                <w:color w:val="auto"/>
              </w:rPr>
            </w:pPr>
            <w:r>
              <w:rPr>
                <w:rFonts w:ascii="Arial" w:cs="Arial" w:eastAsia="Arial" w:hAnsi="Arial"/>
                <w:sz w:val="18"/>
                <w:szCs w:val="18"/>
                <w:color w:val="auto"/>
              </w:rPr>
              <w:t>As of</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Borders>
              <w:top w:val="single" w:sz="8" w:color="auto"/>
            </w:tcBorders>
            <w:gridSpan w:val="3"/>
          </w:tcPr>
          <w:p>
            <w:pPr>
              <w:jc w:val="right"/>
              <w:ind w:right="300"/>
              <w:spacing w:after="0" w:line="195" w:lineRule="exact"/>
              <w:rPr>
                <w:sz w:val="20"/>
                <w:szCs w:val="20"/>
                <w:color w:val="auto"/>
              </w:rPr>
            </w:pPr>
            <w:r>
              <w:rPr>
                <w:rFonts w:ascii="Arial" w:cs="Arial" w:eastAsia="Arial" w:hAnsi="Arial"/>
                <w:sz w:val="18"/>
                <w:szCs w:val="18"/>
                <w:color w:val="auto"/>
                <w:w w:val="94"/>
              </w:rPr>
              <w:t>September 30,</w:t>
            </w:r>
          </w:p>
        </w:tc>
        <w:tc>
          <w:tcPr>
            <w:tcW w:w="12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gridSpan w:val="2"/>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Number of registered clients</w:t>
            </w:r>
          </w:p>
        </w:tc>
        <w:tc>
          <w:tcPr>
            <w:tcW w:w="1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350,409</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406,420</w:t>
            </w:r>
          </w:p>
        </w:tc>
        <w:tc>
          <w:tcPr>
            <w:tcW w:w="2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Number of relationship managers</w:t>
            </w:r>
          </w:p>
        </w:tc>
        <w:tc>
          <w:tcPr>
            <w:tcW w:w="3480" w:type="dxa"/>
            <w:vAlign w:val="bottom"/>
            <w:gridSpan w:val="5"/>
          </w:tcPr>
          <w:p>
            <w:pPr>
              <w:jc w:val="right"/>
              <w:ind w:right="220"/>
              <w:spacing w:after="0"/>
              <w:rPr>
                <w:sz w:val="20"/>
                <w:szCs w:val="20"/>
                <w:color w:val="auto"/>
              </w:rPr>
            </w:pPr>
            <w:r>
              <w:rPr>
                <w:rFonts w:ascii="Arial" w:cs="Arial" w:eastAsia="Arial" w:hAnsi="Arial"/>
                <w:sz w:val="18"/>
                <w:szCs w:val="18"/>
                <w:color w:val="auto"/>
              </w:rPr>
              <w:t>1,204</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1,322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Number of cities in mainland China under coverage</w:t>
            </w:r>
          </w:p>
        </w:tc>
        <w:tc>
          <w:tcPr>
            <w:tcW w:w="348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4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gridSpan w:val="6"/>
          </w:tcPr>
          <w:p>
            <w:pPr>
              <w:ind w:left="540"/>
              <w:spacing w:after="0"/>
              <w:rPr>
                <w:sz w:val="20"/>
                <w:szCs w:val="20"/>
                <w:color w:val="auto"/>
              </w:rPr>
            </w:pPr>
            <w:r>
              <w:rPr>
                <w:rFonts w:ascii="Arial" w:cs="Arial" w:eastAsia="Arial" w:hAnsi="Arial"/>
                <w:sz w:val="18"/>
                <w:szCs w:val="18"/>
                <w:color w:val="auto"/>
              </w:rPr>
              <w:t>Three months ended</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380"/>
              <w:spacing w:after="0" w:line="195" w:lineRule="exact"/>
              <w:rPr>
                <w:sz w:val="20"/>
                <w:szCs w:val="20"/>
                <w:color w:val="auto"/>
              </w:rPr>
            </w:pPr>
            <w:r>
              <w:rPr>
                <w:rFonts w:ascii="Arial" w:cs="Arial" w:eastAsia="Arial" w:hAnsi="Arial"/>
                <w:sz w:val="18"/>
                <w:szCs w:val="18"/>
                <w:color w:val="auto"/>
                <w:w w:val="88"/>
              </w:rPr>
              <w:t>September 30,</w:t>
            </w:r>
          </w:p>
        </w:tc>
        <w:tc>
          <w:tcPr>
            <w:tcW w:w="1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30,</w:t>
            </w:r>
          </w:p>
        </w:tc>
        <w:tc>
          <w:tcPr>
            <w:tcW w:w="260" w:type="dxa"/>
            <w:vAlign w:val="bottom"/>
            <w:gridSpan w:val="2"/>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of</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00" w:type="dxa"/>
            <w:vAlign w:val="bottom"/>
            <w:gridSpan w:val="4"/>
          </w:tcPr>
          <w:p>
            <w:pPr>
              <w:jc w:val="right"/>
              <w:ind w:right="40"/>
              <w:spacing w:after="0" w:line="195" w:lineRule="exact"/>
              <w:rPr>
                <w:sz w:val="20"/>
                <w:szCs w:val="20"/>
                <w:color w:val="auto"/>
              </w:rPr>
            </w:pPr>
            <w:r>
              <w:rPr>
                <w:rFonts w:ascii="Arial" w:cs="Arial" w:eastAsia="Arial" w:hAnsi="Arial"/>
                <w:sz w:val="18"/>
                <w:szCs w:val="18"/>
                <w:color w:val="auto"/>
                <w:w w:val="92"/>
              </w:rPr>
              <w:t>(in millions of RMB,</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8"/>
              </w:rPr>
              <w:t>except number</w:t>
            </w:r>
          </w:p>
        </w:tc>
        <w:tc>
          <w:tcPr>
            <w:tcW w:w="260" w:type="dxa"/>
            <w:vAlign w:val="bottom"/>
            <w:gridSpan w:val="2"/>
            <w:vMerge w:val="continue"/>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5"/>
              </w:rPr>
              <w:t>active clients and</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85"/>
              </w:rPr>
              <w:t>percentages)</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Number of active clients</w:t>
            </w:r>
          </w:p>
        </w:tc>
        <w:tc>
          <w:tcPr>
            <w:tcW w:w="3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4,466</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Number of active clients including mutual fund-only clients</w:t>
            </w:r>
          </w:p>
        </w:tc>
        <w:tc>
          <w:tcPr>
            <w:tcW w:w="3260" w:type="dxa"/>
            <w:vAlign w:val="bottom"/>
            <w:gridSpan w:val="4"/>
          </w:tcPr>
          <w:p>
            <w:pPr>
              <w:jc w:val="right"/>
              <w:ind w:right="40"/>
              <w:spacing w:after="0"/>
              <w:rPr>
                <w:sz w:val="20"/>
                <w:szCs w:val="20"/>
                <w:color w:val="auto"/>
              </w:rPr>
            </w:pPr>
            <w:r>
              <w:rPr>
                <w:rFonts w:ascii="Arial" w:cs="Arial" w:eastAsia="Arial" w:hAnsi="Arial"/>
                <w:sz w:val="18"/>
                <w:szCs w:val="18"/>
                <w:color w:val="auto"/>
              </w:rPr>
              <w:t>20,509</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21,269</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Transaction value:</w:t>
            </w:r>
          </w:p>
        </w:tc>
        <w:tc>
          <w:tcPr>
            <w:tcW w:w="1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Private equity products</w:t>
            </w:r>
          </w:p>
        </w:tc>
        <w:tc>
          <w:tcPr>
            <w:tcW w:w="3260" w:type="dxa"/>
            <w:vAlign w:val="bottom"/>
            <w:gridSpan w:val="4"/>
          </w:tcPr>
          <w:p>
            <w:pPr>
              <w:jc w:val="right"/>
              <w:ind w:right="40"/>
              <w:spacing w:after="0"/>
              <w:rPr>
                <w:sz w:val="20"/>
                <w:szCs w:val="20"/>
                <w:color w:val="auto"/>
              </w:rPr>
            </w:pPr>
            <w:r>
              <w:rPr>
                <w:rFonts w:ascii="Arial" w:cs="Arial" w:eastAsia="Arial" w:hAnsi="Arial"/>
                <w:sz w:val="18"/>
                <w:szCs w:val="18"/>
                <w:color w:val="auto"/>
              </w:rPr>
              <w:t>7,222</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3,793</w:t>
            </w:r>
          </w:p>
        </w:tc>
        <w:tc>
          <w:tcPr>
            <w:tcW w:w="2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secondary products</w:t>
            </w:r>
          </w:p>
        </w:tc>
        <w:tc>
          <w:tcPr>
            <w:tcW w:w="3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8,598</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2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Mutual fund products</w:t>
            </w:r>
          </w:p>
        </w:tc>
        <w:tc>
          <w:tcPr>
            <w:tcW w:w="3260" w:type="dxa"/>
            <w:vAlign w:val="bottom"/>
            <w:gridSpan w:val="4"/>
          </w:tcPr>
          <w:p>
            <w:pPr>
              <w:jc w:val="right"/>
              <w:ind w:right="40"/>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8,942</w:t>
            </w:r>
          </w:p>
        </w:tc>
        <w:tc>
          <w:tcPr>
            <w:tcW w:w="2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products</w:t>
            </w:r>
          </w:p>
        </w:tc>
        <w:tc>
          <w:tcPr>
            <w:tcW w:w="19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 transaction value</w:t>
            </w:r>
          </w:p>
        </w:tc>
        <w:tc>
          <w:tcPr>
            <w:tcW w:w="1980" w:type="dxa"/>
            <w:vAlign w:val="bottom"/>
            <w:vMerge w:val="restart"/>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28,780</w:t>
            </w:r>
          </w:p>
        </w:tc>
        <w:tc>
          <w:tcPr>
            <w:tcW w:w="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24,067</w:t>
            </w:r>
          </w:p>
        </w:tc>
        <w:tc>
          <w:tcPr>
            <w:tcW w:w="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34"/>
        </w:trPr>
        <w:tc>
          <w:tcPr>
            <w:tcW w:w="4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Condensed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438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Three months ended September 30, 2021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9"/>
              </w:rPr>
              <w:t>Wealth</w:t>
            </w:r>
          </w:p>
        </w:tc>
        <w:tc>
          <w:tcPr>
            <w:tcW w:w="144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8"/>
              </w:rPr>
              <w:t>Asset</w:t>
            </w: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Management</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Businesses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RMB’000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RMB’000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Revenues from others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commissions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183,733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183,733</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Recurring service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259,364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259,364</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Performance-based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 service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30,856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51,690</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from others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500,749</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Revenues from funds Gopher manages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commissions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32,113</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Recurring service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133,173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176,359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309,532</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Performance-based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44,565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55,645</w:t>
            </w:r>
          </w:p>
        </w:tc>
      </w:tr>
      <w:tr>
        <w:trPr>
          <w:trHeight w:val="209"/>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 from funds Gopher manages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155,037</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242,253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397,290</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242,253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918,873</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Less: VAT related surcharges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(2,215)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(899)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(6,844)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(9,958)</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653,571</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color w:val="auto"/>
              </w:rPr>
              <w:t>Relationship managers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(172,469)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(6,120)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(178,589)</w:t>
            </w: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(179,230)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(89,733)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(281,220)</w:t>
            </w:r>
          </w:p>
        </w:tc>
      </w:tr>
      <w:tr>
        <w:trPr>
          <w:trHeight w:val="209"/>
        </w:trPr>
        <w:tc>
          <w:tcPr>
            <w:tcW w:w="5520" w:type="dxa"/>
            <w:vAlign w:val="bottom"/>
          </w:tcPr>
          <w:p>
            <w:pPr>
              <w:ind w:left="180"/>
              <w:spacing w:after="0"/>
              <w:rPr>
                <w:sz w:val="20"/>
                <w:szCs w:val="20"/>
                <w:color w:val="auto"/>
              </w:rPr>
            </w:pPr>
            <w:r>
              <w:rPr>
                <w:rFonts w:ascii="Arial" w:cs="Arial" w:eastAsia="Arial" w:hAnsi="Arial"/>
                <w:sz w:val="18"/>
                <w:szCs w:val="18"/>
                <w:color w:val="auto"/>
              </w:rPr>
              <w:t>Total compensation and benefits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(351,699)</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(12,257)</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(459,809)</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(92,288)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(114,307)</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(57,096)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(13,669)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(6,364)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(77,129)</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(16,268)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(16,331)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(33,030)</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grants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10,804</w:t>
            </w: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(510,476)</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(124,208)</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(680,053)</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143,095</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(31,379)</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228,862</w:t>
            </w:r>
          </w:p>
        </w:tc>
        <w:tc>
          <w:tcPr>
            <w:tcW w:w="100" w:type="dxa"/>
            <w:vAlign w:val="bottom"/>
            <w:shd w:val="clear" w:color="auto" w:fill="CCEEFF"/>
          </w:tcPr>
          <w:p>
            <w:pPr>
              <w:spacing w:after="0"/>
              <w:rPr>
                <w:sz w:val="18"/>
                <w:szCs w:val="18"/>
                <w:color w:val="auto"/>
              </w:rPr>
            </w:pPr>
          </w:p>
        </w:tc>
      </w:tr>
      <w:tr>
        <w:trPr>
          <w:trHeight w:val="641"/>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89"/>
              </w:rPr>
              <w:t>14</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Condensed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438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Three months ended September 30, 2020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9"/>
              </w:rPr>
              <w:t>Wealth</w:t>
            </w:r>
          </w:p>
        </w:tc>
        <w:tc>
          <w:tcPr>
            <w:tcW w:w="144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8"/>
              </w:rPr>
              <w:t>Asset</w:t>
            </w: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Businesses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RMB'000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RMB'000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Revenues from others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commissions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124,645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Recurring service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199,423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200,075</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Performance-based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27,210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27,217</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 service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23,992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33,985</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from others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375,270</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Revenues from funds Gopher manages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commissions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66,201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71,112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Recurring service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183,594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179,680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363,274</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Performance-based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36,922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43,673</w:t>
            </w: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 from funds Gopher manages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256,546</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221,513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478,059</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631,816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864,336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Less: VAT related surcharges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(4,123)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(5,282)</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627,693</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222,410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color w:val="auto"/>
              </w:rPr>
              <w:t>Relationship managers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(144,534)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(144,977)</w:t>
            </w: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(118,854)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(83,269)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(217,549)</w:t>
            </w:r>
          </w:p>
        </w:tc>
      </w:tr>
      <w:tr>
        <w:trPr>
          <w:trHeight w:val="210"/>
        </w:trPr>
        <w:tc>
          <w:tcPr>
            <w:tcW w:w="5520" w:type="dxa"/>
            <w:vAlign w:val="bottom"/>
          </w:tcPr>
          <w:p>
            <w:pPr>
              <w:ind w:left="180"/>
              <w:spacing w:after="0"/>
              <w:rPr>
                <w:sz w:val="20"/>
                <w:szCs w:val="20"/>
                <w:color w:val="auto"/>
              </w:rPr>
            </w:pPr>
            <w:r>
              <w:rPr>
                <w:rFonts w:ascii="Arial" w:cs="Arial" w:eastAsia="Arial" w:hAnsi="Arial"/>
                <w:sz w:val="18"/>
                <w:szCs w:val="18"/>
                <w:color w:val="auto"/>
              </w:rPr>
              <w:t>Total compensation and benefits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(263,388)</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(15,869)</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(362,526)</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(58,836)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(69,882)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(39,357)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(17,425)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(4,874)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(61,656)</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(5,166)</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(17,298)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(3,983)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(23,129)</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grants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10,552</w:t>
            </w: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(379,306)</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(108,704)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(511,807)</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248,387</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347,247</w:t>
            </w:r>
          </w:p>
        </w:tc>
        <w:tc>
          <w:tcPr>
            <w:tcW w:w="100" w:type="dxa"/>
            <w:vAlign w:val="bottom"/>
            <w:shd w:val="clear" w:color="auto" w:fill="CCEEFF"/>
          </w:tcPr>
          <w:p>
            <w:pPr>
              <w:spacing w:after="0"/>
              <w:rPr>
                <w:sz w:val="18"/>
                <w:szCs w:val="18"/>
                <w:color w:val="auto"/>
              </w:rPr>
            </w:pPr>
          </w:p>
        </w:tc>
      </w:tr>
      <w:tr>
        <w:trPr>
          <w:trHeight w:val="641"/>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89"/>
              </w:rPr>
              <w:t>15</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Revenue Information by Geography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438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Three months ended September 30, 2021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9"/>
              </w:rPr>
              <w:t>Wealth</w:t>
            </w:r>
          </w:p>
        </w:tc>
        <w:tc>
          <w:tcPr>
            <w:tcW w:w="144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8"/>
              </w:rPr>
              <w:t>Asset</w:t>
            </w: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Businesses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RMB’000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RMB’000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482,033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165,602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668,469</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139,503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67,426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206,929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34,250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9,225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43,475</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242,253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918,873</w:t>
            </w:r>
          </w:p>
        </w:tc>
        <w:tc>
          <w:tcPr>
            <w:tcW w:w="100" w:type="dxa"/>
            <w:vAlign w:val="bottom"/>
            <w:tcBorders>
              <w:top w:val="single" w:sz="8" w:color="CCEEFF"/>
            </w:tcBorders>
            <w:shd w:val="clear" w:color="auto" w:fill="CCEEFF"/>
          </w:tcPr>
          <w:p>
            <w:pPr>
              <w:spacing w:after="0"/>
              <w:rPr>
                <w:sz w:val="18"/>
                <w:szCs w:val="18"/>
                <w:color w:val="auto"/>
              </w:rPr>
            </w:pPr>
          </w:p>
        </w:tc>
      </w:tr>
      <w:tr>
        <w:trPr>
          <w:trHeight w:val="426"/>
        </w:trPr>
        <w:tc>
          <w:tcPr>
            <w:tcW w:w="5520" w:type="dxa"/>
            <w:vAlign w:val="bottom"/>
          </w:tcPr>
          <w:p>
            <w:pPr>
              <w:spacing w:after="0"/>
              <w:rPr>
                <w:sz w:val="24"/>
                <w:szCs w:val="24"/>
                <w:color w:val="auto"/>
              </w:rPr>
            </w:pPr>
          </w:p>
        </w:tc>
        <w:tc>
          <w:tcPr>
            <w:tcW w:w="438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Three months ended September 30, 2020</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9"/>
              </w:rPr>
              <w:t>Wealth</w:t>
            </w:r>
          </w:p>
        </w:tc>
        <w:tc>
          <w:tcPr>
            <w:tcW w:w="144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88"/>
              </w:rPr>
              <w:t>Asset</w:t>
            </w: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Management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Business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Businesses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RMB’000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RMB’000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512,820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184,449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706,376</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76,584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103,860</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42,412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11,688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54,100</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631,816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864,336</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89"/>
              </w:rPr>
              <w:t>16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RMB, except for per ADS data and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gridSpan w:val="4"/>
          </w:tcPr>
          <w:p>
            <w:pPr>
              <w:jc w:val="right"/>
              <w:ind w:right="900"/>
              <w:spacing w:after="0"/>
              <w:rPr>
                <w:sz w:val="20"/>
                <w:szCs w:val="20"/>
                <w:color w:val="auto"/>
              </w:rPr>
            </w:pPr>
            <w:r>
              <w:rPr>
                <w:rFonts w:ascii="Arial" w:cs="Arial" w:eastAsia="Arial" w:hAnsi="Arial"/>
                <w:sz w:val="18"/>
                <w:szCs w:val="18"/>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w w:val="94"/>
              </w:rPr>
              <w:t>September 30,</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September 30,</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p>
        </w:tc>
        <w:tc>
          <w:tcPr>
            <w:tcW w:w="2540" w:type="dxa"/>
            <w:vAlign w:val="bottom"/>
            <w:gridSpan w:val="2"/>
          </w:tcPr>
          <w:p>
            <w:pPr>
              <w:jc w:val="right"/>
              <w:ind w:right="33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Noah shareholders</w:t>
            </w:r>
          </w:p>
        </w:tc>
        <w:tc>
          <w:tcPr>
            <w:tcW w:w="2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285,616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273,200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Adjustment for share-based compensation</w:t>
            </w:r>
          </w:p>
        </w:tc>
        <w:tc>
          <w:tcPr>
            <w:tcW w:w="2820" w:type="dxa"/>
            <w:vAlign w:val="bottom"/>
            <w:gridSpan w:val="3"/>
          </w:tcPr>
          <w:p>
            <w:pPr>
              <w:jc w:val="right"/>
              <w:ind w:right="280"/>
              <w:spacing w:after="0"/>
              <w:rPr>
                <w:sz w:val="20"/>
                <w:szCs w:val="20"/>
                <w:color w:val="auto"/>
              </w:rPr>
            </w:pPr>
            <w:r>
              <w:rPr>
                <w:rFonts w:ascii="Arial" w:cs="Arial" w:eastAsia="Arial" w:hAnsi="Arial"/>
                <w:sz w:val="18"/>
                <w:szCs w:val="18"/>
                <w:color w:val="auto"/>
              </w:rPr>
              <w:t>14,351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12,423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Add: settlement expenses</w:t>
            </w:r>
          </w:p>
        </w:tc>
        <w:tc>
          <w:tcPr>
            <w:tcW w:w="2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Less: tax effect of adjustments</w:t>
            </w:r>
          </w:p>
        </w:tc>
        <w:tc>
          <w:tcPr>
            <w:tcW w:w="1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3,408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2,879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net income attributable to Noah shareholders (non-GAAP)</w:t>
            </w:r>
          </w:p>
        </w:tc>
        <w:tc>
          <w:tcPr>
            <w:tcW w:w="13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296,559</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284,181</w:t>
            </w:r>
          </w:p>
        </w:tc>
        <w:tc>
          <w:tcPr>
            <w:tcW w:w="2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margin attributable to Noah shareholders</w:t>
            </w:r>
          </w:p>
        </w:tc>
        <w:tc>
          <w:tcPr>
            <w:tcW w:w="2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Non-GAAP net margin attributable to Noah shareholders</w:t>
            </w:r>
          </w:p>
        </w:tc>
        <w:tc>
          <w:tcPr>
            <w:tcW w:w="2820" w:type="dxa"/>
            <w:vAlign w:val="bottom"/>
            <w:gridSpan w:val="3"/>
          </w:tcPr>
          <w:p>
            <w:pPr>
              <w:jc w:val="right"/>
              <w:ind w:right="120"/>
              <w:spacing w:after="0"/>
              <w:rPr>
                <w:sz w:val="20"/>
                <w:szCs w:val="20"/>
                <w:color w:val="auto"/>
              </w:rPr>
            </w:pPr>
            <w:r>
              <w:rPr>
                <w:rFonts w:ascii="Arial" w:cs="Arial" w:eastAsia="Arial" w:hAnsi="Arial"/>
                <w:sz w:val="18"/>
                <w:szCs w:val="18"/>
                <w:color w:val="auto"/>
              </w:rPr>
              <w:t>34.5%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Noah shareholders per ADS, diluted</w:t>
            </w:r>
          </w:p>
        </w:tc>
        <w:tc>
          <w:tcPr>
            <w:tcW w:w="2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2"/>
              </w:rPr>
              <w:t>Non-GAAP net income attributable to Noah shareholders per ADS, diluted</w:t>
            </w:r>
          </w:p>
        </w:tc>
        <w:tc>
          <w:tcPr>
            <w:tcW w:w="2820" w:type="dxa"/>
            <w:vAlign w:val="bottom"/>
            <w:gridSpan w:val="3"/>
          </w:tcPr>
          <w:p>
            <w:pPr>
              <w:jc w:val="right"/>
              <w:ind w:right="280"/>
              <w:spacing w:after="0"/>
              <w:rPr>
                <w:sz w:val="20"/>
                <w:szCs w:val="20"/>
                <w:color w:val="auto"/>
              </w:rPr>
            </w:pPr>
            <w:r>
              <w:rPr>
                <w:rFonts w:ascii="Arial" w:cs="Arial" w:eastAsia="Arial" w:hAnsi="Arial"/>
                <w:sz w:val="18"/>
                <w:szCs w:val="18"/>
                <w:color w:val="auto"/>
              </w:rPr>
              <w:t>4.78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850"/>
        </w:trPr>
        <w:tc>
          <w:tcPr>
            <w:tcW w:w="5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lvl w:ilvl="1">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2021-11-23T15:31:32Z</dcterms:created>
  <dcterms:modified xsi:type="dcterms:W3CDTF">2021-11-23T15:31:32Z</dcterms:modified>
</cp:coreProperties>
</file>