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689d1_6k.htm"/>
      <w:bookmarkStart w:id="1" w:name="kstm2622689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w:t>
        <w:br/>
        <w:t>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001-34936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Noah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 North Bridge Road, #05-11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Odeon 333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188721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6911-8211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5"/>
        <w:gridCol w:w="9150"/>
      </w:tblGrid>
      <w:tr>
        <w:trPr/>
        <w:tc>
          <w:tcPr>
            <w:tcW w:w="1055" w:type="dxa"/>
            <w:tcBorders/>
            <w:vAlign w:val="center"/>
          </w:tcPr>
          <w:p>
            <w:pPr>
              <w:pStyle w:val="TableContents"/>
              <w:bidi w:val="0"/>
              <w:spacing w:before="0" w:after="283"/>
              <w:jc w:val="left"/>
              <w:rPr/>
            </w:pPr>
            <w:hyperlink w:anchor="tm2622689d1_ex99-1.htm">
              <w:r>
                <w:rPr>
                  <w:rStyle w:val="InternetLink"/>
                  <w:rFonts w:ascii="Times New Roman;Times;Serif" w:hAnsi="Times New Roman;Times;Serif"/>
                  <w:sz w:val="20"/>
                </w:rPr>
                <w:t>Exhibit 99.1</w:t>
              </w:r>
            </w:hyperlink>
          </w:p>
        </w:tc>
        <w:tc>
          <w:tcPr>
            <w:tcW w:w="9150" w:type="dxa"/>
            <w:tcBorders/>
            <w:vAlign w:val="center"/>
          </w:tcPr>
          <w:p>
            <w:pPr>
              <w:pStyle w:val="TableContents"/>
              <w:bidi w:val="0"/>
              <w:spacing w:before="0" w:after="283"/>
              <w:jc w:val="left"/>
              <w:rPr/>
            </w:pPr>
            <w:hyperlink w:anchor="tm2622689d1_ex99-1.htm">
              <w:r>
                <w:rPr>
                  <w:rStyle w:val="InternetLink"/>
                  <w:rFonts w:ascii="Times New Roman;Times;Serif" w:hAnsi="Times New Roman;Times;Serif"/>
                  <w:sz w:val="20"/>
                </w:rPr>
                <w:t>Date of Board Meeting and Date of Announcement of Second Quarter and Half Year 2026 Unaudited Financial Results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05" w:type="dxa"/>
        <w:jc w:val="left"/>
        <w:tblInd w:w="0" w:type="dxa"/>
        <w:tblLayout w:type="fixed"/>
        <w:tblCellMar>
          <w:top w:w="0" w:type="dxa"/>
          <w:left w:w="0" w:type="dxa"/>
          <w:bottom w:w="0" w:type="dxa"/>
          <w:right w:w="0" w:type="dxa"/>
        </w:tblCellMar>
      </w:tblPr>
      <w:tblGrid>
        <w:gridCol w:w="1865"/>
        <w:gridCol w:w="545"/>
        <w:gridCol w:w="1895"/>
      </w:tblGrid>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Noah Holdings Limited</w:t>
            </w:r>
          </w:p>
        </w:tc>
      </w:tr>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Qing Pan</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 Pan</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2026</w:t>
            </w:r>
          </w:p>
        </w:tc>
        <w:tc>
          <w:tcPr>
            <w:tcW w:w="244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2689d1_ex99-1.htm"/>
      <w:bookmarkStart w:id="3" w:name="kstm2622689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Private Wealth and Asset Management Limited</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諾亞控股私人財富資產管理有限公司</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 under the name Noah Holdings Limited and carrying on</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in Hong Kong as Noah Holdings Private Wealth and Asset Management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6686)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BOARD MEETING 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ANNOUNCEMENT OF SECOND QUARTER AND</w:t>
        <w:br/>
        <w:t>HALF YEAR 2026 UNAUDITED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Noah Holdings Private Wealth and Asset Management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with its subsidiaries and consolidated affiliated entities,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will hold a Board meeting on Tuesday, August 25, 2026 (Hong Kong Time) for the purpose of, among others, considering and approving the unaudited financial results of the Group for the three months and six months ended June 30, 2026 (the “</w:t>
      </w:r>
      <w:r>
        <w:rPr>
          <w:rFonts w:ascii="Times New Roman;Times;Serif" w:hAnsi="Times New Roman;Times;Serif"/>
          <w:b/>
          <w:i w:val="false"/>
          <w:caps w:val="false"/>
          <w:smallCaps w:val="false"/>
          <w:sz w:val="20"/>
        </w:rPr>
        <w:t>Q2 and Interim Results</w:t>
      </w:r>
      <w:r>
        <w:rPr>
          <w:rFonts w:ascii="Times New Roman;Times;Serif" w:hAnsi="Times New Roman;Times;Serif"/>
          <w:b w:val="false"/>
          <w:i w:val="false"/>
          <w:caps w:val="false"/>
          <w:smallCaps w:val="false"/>
          <w:sz w:val="20"/>
        </w:rPr>
        <w:t xml:space="preserve">”) and its publication. The Company will announce its Q2 and Interim Results at or around 6:00 a.m. Hong Kong Time on Wednesday, August 26, 2026 (6:00 p.m. U.S. Eastern Time on Tuesday, August 25, 2026) on the website of The Stock Exchange of Hong Kong Limited at </w:t>
      </w:r>
      <w:r>
        <w:rPr>
          <w:rFonts w:ascii="Times New Roman;Times;Serif" w:hAnsi="Times New Roman;Times;Serif"/>
          <w:b/>
          <w:i w:val="false"/>
          <w:caps w:val="false"/>
          <w:smallCaps w:val="false"/>
          <w:sz w:val="20"/>
          <w:u w:val="single"/>
        </w:rPr>
        <w:t>www.hkexnews.hk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announcement of the Q2 and Interim Results, the Company’s senior management will host a combined English and Chinese language earnings conference call to discuss its Q2 and Interim Results and recent business activities. The conference call may be accessed with the following details:</w:t>
      </w:r>
    </w:p>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2390"/>
        <w:gridCol w:w="5510"/>
      </w:tblGrid>
      <w:tr>
        <w:trPr/>
        <w:tc>
          <w:tcPr>
            <w:tcW w:w="23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Dial-in details:</w:t>
            </w:r>
          </w:p>
        </w:tc>
        <w:tc>
          <w:tcPr>
            <w:tcW w:w="551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Conference title:</w:t>
            </w:r>
          </w:p>
        </w:tc>
        <w:tc>
          <w:tcPr>
            <w:tcW w:w="5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Noah Second Quarter and Half Year 2026 Earnings Conference Call</w:t>
            </w:r>
          </w:p>
        </w:tc>
      </w:tr>
      <w:tr>
        <w:trPr/>
        <w:tc>
          <w:tcPr>
            <w:tcW w:w="239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Date/Time:</w:t>
            </w:r>
          </w:p>
        </w:tc>
        <w:tc>
          <w:tcPr>
            <w:tcW w:w="5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Tuesday, August 25, 2026 at 8:00 p.m., U.S. Eastern Time</w:t>
            </w:r>
          </w:p>
        </w:tc>
      </w:tr>
      <w:tr>
        <w:trPr/>
        <w:tc>
          <w:tcPr>
            <w:tcW w:w="239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Wednesday, August 26, 2026 at 8:00 a.m., Hong Kong Time</w:t>
            </w:r>
          </w:p>
        </w:tc>
      </w:tr>
      <w:tr>
        <w:trPr/>
        <w:tc>
          <w:tcPr>
            <w:tcW w:w="239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Dial in:</w:t>
            </w:r>
          </w:p>
        </w:tc>
        <w:tc>
          <w:tcPr>
            <w:tcW w:w="551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xml:space="preserve">– </w:t>
            </w:r>
            <w:r>
              <w:rPr>
                <w:rFonts w:ascii="Times New Roman;Times;Serif" w:hAnsi="Times New Roman;Times;Serif"/>
                <w:sz w:val="20"/>
              </w:rPr>
              <w:t>Hong Kong Toll Free:</w:t>
            </w:r>
          </w:p>
        </w:tc>
        <w:tc>
          <w:tcPr>
            <w:tcW w:w="5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800-905945</w:t>
            </w:r>
          </w:p>
        </w:tc>
      </w:tr>
      <w:tr>
        <w:trPr/>
        <w:tc>
          <w:tcPr>
            <w:tcW w:w="239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xml:space="preserve">– </w:t>
            </w:r>
            <w:r>
              <w:rPr>
                <w:rFonts w:ascii="Times New Roman;Times;Serif" w:hAnsi="Times New Roman;Times;Serif"/>
                <w:sz w:val="20"/>
              </w:rPr>
              <w:t>United States Toll Free:</w:t>
            </w:r>
          </w:p>
        </w:tc>
        <w:tc>
          <w:tcPr>
            <w:tcW w:w="5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1-888-317-6003</w:t>
            </w:r>
          </w:p>
        </w:tc>
      </w:tr>
      <w:tr>
        <w:trPr/>
        <w:tc>
          <w:tcPr>
            <w:tcW w:w="239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xml:space="preserve">– </w:t>
            </w:r>
            <w:r>
              <w:rPr>
                <w:rFonts w:ascii="Times New Roman;Times;Serif" w:hAnsi="Times New Roman;Times;Serif"/>
                <w:sz w:val="20"/>
              </w:rPr>
              <w:t>Mainland China Toll Free:</w:t>
            </w:r>
          </w:p>
        </w:tc>
        <w:tc>
          <w:tcPr>
            <w:tcW w:w="5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4001-201203</w:t>
            </w:r>
          </w:p>
        </w:tc>
      </w:tr>
      <w:tr>
        <w:trPr/>
        <w:tc>
          <w:tcPr>
            <w:tcW w:w="239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xml:space="preserve">– </w:t>
            </w:r>
            <w:r>
              <w:rPr>
                <w:rFonts w:ascii="Times New Roman;Times;Serif" w:hAnsi="Times New Roman;Times;Serif"/>
                <w:sz w:val="20"/>
              </w:rPr>
              <w:t>International Toll:</w:t>
            </w:r>
          </w:p>
        </w:tc>
        <w:tc>
          <w:tcPr>
            <w:tcW w:w="5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1-412-317-6061</w:t>
            </w:r>
          </w:p>
        </w:tc>
      </w:tr>
      <w:tr>
        <w:trPr/>
        <w:tc>
          <w:tcPr>
            <w:tcW w:w="239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Participant Password:</w:t>
            </w:r>
          </w:p>
        </w:tc>
        <w:tc>
          <w:tcPr>
            <w:tcW w:w="5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4116275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telephone replay will be available starting approximately one hour after the end of the conference until August 31, 2026 at 1-855-669-9658 (US Toll Free) and 1-412-317-0088 (International Toll) with the access code 8252319.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and archived webcast of the conference call will be available at the Company’s investor relations website under the “Financial Reports” section at </w:t>
      </w:r>
      <w:r>
        <w:rPr>
          <w:rFonts w:ascii="Times New Roman;Times;Serif" w:hAnsi="Times New Roman;Times;Serif"/>
          <w:b/>
          <w:i w:val="false"/>
          <w:caps w:val="false"/>
          <w:smallCaps w:val="false"/>
          <w:sz w:val="20"/>
          <w:u w:val="single"/>
        </w:rPr>
        <w:t>http://ir.noahgroup.com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420" w:type="dxa"/>
        <w:jc w:val="left"/>
        <w:tblInd w:w="0" w:type="dxa"/>
        <w:tblLayout w:type="fixed"/>
        <w:tblCellMar>
          <w:top w:w="0" w:type="dxa"/>
          <w:left w:w="0" w:type="dxa"/>
          <w:bottom w:w="0" w:type="dxa"/>
          <w:right w:w="0" w:type="dxa"/>
        </w:tblCellMar>
      </w:tblPr>
      <w:tblGrid>
        <w:gridCol w:w="75"/>
        <w:gridCol w:w="5345"/>
      </w:tblGrid>
      <w:tr>
        <w:trPr/>
        <w:tc>
          <w:tcPr>
            <w:tcW w:w="75"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Noah Holdings Private Wealth and Asset Management Limited</w:t>
            </w:r>
          </w:p>
        </w:tc>
      </w:tr>
      <w:tr>
        <w:trPr/>
        <w:tc>
          <w:tcPr>
            <w:tcW w:w="75"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Jingbo Wang</w:t>
            </w:r>
          </w:p>
        </w:tc>
      </w:tr>
      <w:tr>
        <w:trPr/>
        <w:tc>
          <w:tcPr>
            <w:tcW w:w="75"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Chairwoman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the date of this announcement, the Board comprises Ms. Jingbo Wang, the chairwoman and Mr. Zhe Yin as Directors; Ms. Chia-Yue Chang, Mr. Boquan He and Mr. David Zhang as non-executive Directors; and Ms. Xiangrong Li, Ms. Cynthia Jinhong Meng and Ms. May Yihong Wu as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3435</Characters>
  <CharactersWithSpaces>4084</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