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August 2024</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001-34936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Noah Holdings Limited</w:t>
      </w:r>
    </w:p>
    <w:p>
      <w:pPr>
        <w:spacing w:after="0" w:line="45"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 1226, South Shenbin Road, Minhang District,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Shanghai,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+86 (21) 8035-8292</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46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00"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32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w w:val="98"/>
              </w:rPr>
              <w:t>Exhibit 99.1</w:t>
            </w:r>
          </w:p>
        </w:tc>
        <w:tc>
          <w:tcPr>
            <w:tcW w:w="1034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0000EE"/>
              </w:rPr>
              <w:t xml:space="preserve">HKEx Announcement — Inside Information — </w:t>
            </w:r>
            <w:r>
              <w:rPr>
                <w:rFonts w:ascii="Times New Roman" w:cs="Times New Roman" w:eastAsia="Times New Roman" w:hAnsi="Times New Roman"/>
                <w:sz w:val="18"/>
                <w:szCs w:val="18"/>
                <w:u w:val="single" w:color="auto"/>
                <w:color w:val="0000EE"/>
              </w:rPr>
              <w:t>US$</w:t>
            </w:r>
            <w:r>
              <w:rPr>
                <w:rFonts w:ascii="Times New Roman" w:cs="Times New Roman" w:eastAsia="Times New Roman" w:hAnsi="Times New Roman"/>
                <w:sz w:val="18"/>
                <w:szCs w:val="18"/>
                <w:color w:val="0000EE"/>
              </w:rPr>
              <w:t>50 Million Share Repurchase Program</w:t>
            </w:r>
          </w:p>
        </w:tc>
      </w:tr>
      <w:tr>
        <w:trPr>
          <w:trHeight w:val="20"/>
        </w:trPr>
        <w:tc>
          <w:tcPr>
            <w:tcW w:w="9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58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8"/>
              </w:rPr>
              <w:t>Exhibit 99.2</w:t>
            </w:r>
          </w:p>
        </w:tc>
        <w:tc>
          <w:tcPr>
            <w:tcW w:w="10340" w:type="dxa"/>
            <w:vAlign w:val="bottom"/>
            <w:gridSpan w:val="4"/>
          </w:tcPr>
          <w:p>
            <w:pPr>
              <w:ind w:left="800"/>
              <w:spacing w:after="0" w:line="196" w:lineRule="exact"/>
              <w:rPr>
                <w:sz w:val="20"/>
                <w:szCs w:val="20"/>
                <w:color w:val="auto"/>
              </w:rPr>
            </w:pPr>
            <w:r>
              <w:rPr>
                <w:rFonts w:ascii="Times New Roman" w:cs="Times New Roman" w:eastAsia="Times New Roman" w:hAnsi="Times New Roman"/>
                <w:sz w:val="18"/>
                <w:szCs w:val="18"/>
                <w:color w:val="0000EE"/>
              </w:rPr>
              <w:t>HKEx Announcement — Inside Information — Interim Results Announcement for the Six Months ended June 30, 2024</w:t>
            </w:r>
          </w:p>
        </w:tc>
      </w:tr>
      <w:tr>
        <w:trPr>
          <w:trHeight w:val="453"/>
        </w:trPr>
        <w:tc>
          <w:tcPr>
            <w:tcW w:w="900" w:type="dxa"/>
            <w:vAlign w:val="bottom"/>
            <w:tcBorders>
              <w:top w:val="single" w:sz="8" w:color="0000EE"/>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580" w:type="dxa"/>
            <w:vAlign w:val="bottom"/>
            <w:tcBorders>
              <w:top w:val="single" w:sz="8" w:color="0000EE"/>
              <w:bottom w:val="single" w:sz="8" w:color="auto"/>
            </w:tcBorders>
          </w:tcPr>
          <w:p>
            <w:pPr>
              <w:spacing w:after="0"/>
              <w:rPr>
                <w:sz w:val="24"/>
                <w:szCs w:val="24"/>
                <w:color w:val="auto"/>
              </w:rPr>
            </w:pPr>
          </w:p>
        </w:tc>
        <w:tc>
          <w:tcPr>
            <w:tcW w:w="2080" w:type="dxa"/>
            <w:vAlign w:val="bottom"/>
            <w:tcBorders>
              <w:top w:val="single" w:sz="8" w:color="0000EE"/>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Noah Holdings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Qing Pan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Qing 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231F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Noah Holdings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Noah Holdings Private Wealth and Asset Management Limited</w:t>
      </w:r>
    </w:p>
    <w:p>
      <w:pPr>
        <w:spacing w:after="0" w:line="227" w:lineRule="exact"/>
        <w:rPr>
          <w:sz w:val="20"/>
          <w:szCs w:val="20"/>
          <w:color w:val="auto"/>
        </w:rPr>
      </w:pPr>
    </w:p>
    <w:p>
      <w:pPr>
        <w:jc w:val="center"/>
        <w:ind w:right="-19"/>
        <w:spacing w:after="0" w:line="216" w:lineRule="exact"/>
        <w:rPr>
          <w:sz w:val="20"/>
          <w:szCs w:val="20"/>
          <w:color w:val="auto"/>
        </w:rPr>
      </w:pPr>
      <w:r>
        <w:rPr>
          <w:rFonts w:ascii="PMingLiU" w:cs="PMingLiU" w:eastAsia="PMingLiU" w:hAnsi="PMingLiU"/>
          <w:sz w:val="18"/>
          <w:szCs w:val="18"/>
          <w:color w:val="auto"/>
        </w:rPr>
        <w:t>諾亞控股私人財富資產管理有限公司</w:t>
      </w:r>
    </w:p>
    <w:p>
      <w:pPr>
        <w:spacing w:after="0" w:line="221" w:lineRule="exact"/>
        <w:rPr>
          <w:sz w:val="20"/>
          <w:szCs w:val="20"/>
          <w:color w:val="auto"/>
        </w:rPr>
      </w:pPr>
    </w:p>
    <w:p>
      <w:pPr>
        <w:jc w:val="both"/>
        <w:ind w:left="1920" w:right="1920" w:firstLine="7"/>
        <w:spacing w:after="0" w:line="277" w:lineRule="auto"/>
        <w:rPr>
          <w:sz w:val="20"/>
          <w:szCs w:val="20"/>
          <w:color w:val="auto"/>
        </w:rPr>
      </w:pPr>
      <w:r>
        <w:rPr>
          <w:rFonts w:ascii="Times New Roman" w:cs="Times New Roman" w:eastAsia="Times New Roman" w:hAnsi="Times New Roman"/>
          <w:sz w:val="17"/>
          <w:szCs w:val="17"/>
          <w:i w:val="1"/>
          <w:iCs w:val="1"/>
          <w:color w:val="231F20"/>
        </w:rPr>
        <w:t>(Incorporated in the Cayman Islands with limited liability under the name Noah Holdings Limited and carrying on business in Hong Kong as Noah Holdings Private Wealth and Asset Management Limited)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(Stock Code: 6686)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INSIDE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US$50 MILLION SHARE REPURCHASE PROGRAM</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231F20"/>
        </w:rPr>
        <w:t>This announcement is made by Noah Holdings Private Wealth and Asset Management Limited (“</w:t>
      </w:r>
      <w:r>
        <w:rPr>
          <w:rFonts w:ascii="Times New Roman" w:cs="Times New Roman" w:eastAsia="Times New Roman" w:hAnsi="Times New Roman"/>
          <w:sz w:val="18"/>
          <w:szCs w:val="18"/>
          <w:b w:val="1"/>
          <w:bCs w:val="1"/>
          <w:color w:val="231F20"/>
        </w:rPr>
        <w:t>Noah</w:t>
      </w:r>
      <w:r>
        <w:rPr>
          <w:rFonts w:ascii="Times New Roman" w:cs="Times New Roman" w:eastAsia="Times New Roman" w:hAnsi="Times New Roman"/>
          <w:sz w:val="18"/>
          <w:szCs w:val="18"/>
          <w:color w:val="231F20"/>
        </w:rPr>
        <w:t>” or the “</w:t>
      </w:r>
      <w:r>
        <w:rPr>
          <w:rFonts w:ascii="Times New Roman" w:cs="Times New Roman" w:eastAsia="Times New Roman" w:hAnsi="Times New Roman"/>
          <w:sz w:val="18"/>
          <w:szCs w:val="18"/>
          <w:b w:val="1"/>
          <w:bCs w:val="1"/>
          <w:color w:val="231F20"/>
        </w:rPr>
        <w:t>Company</w:t>
      </w:r>
      <w:r>
        <w:rPr>
          <w:rFonts w:ascii="Times New Roman" w:cs="Times New Roman" w:eastAsia="Times New Roman" w:hAnsi="Times New Roman"/>
          <w:sz w:val="18"/>
          <w:szCs w:val="18"/>
          <w:color w:val="231F20"/>
        </w:rPr>
        <w:t>”) pursuant to Rule 13.09(2) of the Rules Governing the Listing of Securities on The Stock Exchange of Hong Kong Limited (the “</w:t>
      </w:r>
      <w:r>
        <w:rPr>
          <w:rFonts w:ascii="Times New Roman" w:cs="Times New Roman" w:eastAsia="Times New Roman" w:hAnsi="Times New Roman"/>
          <w:sz w:val="18"/>
          <w:szCs w:val="18"/>
          <w:b w:val="1"/>
          <w:bCs w:val="1"/>
          <w:color w:val="231F20"/>
        </w:rPr>
        <w:t>Hong Kong Listing Rules</w:t>
      </w:r>
      <w:r>
        <w:rPr>
          <w:rFonts w:ascii="Times New Roman" w:cs="Times New Roman" w:eastAsia="Times New Roman" w:hAnsi="Times New Roman"/>
          <w:sz w:val="18"/>
          <w:szCs w:val="18"/>
          <w:color w:val="231F20"/>
        </w:rPr>
        <w:t>”) and the Inside Information Provisions (as defined under the Hong Kong Listing Rules) under Part XIVA of the Securities and Futures Ordinance (Cap. 571 of the Laws of Hong Kong).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On August 29, 2024, the Company announced that as part of its commitment to enhancing shareholder returns, the board of directors of the Company (the “</w:t>
      </w:r>
      <w:r>
        <w:rPr>
          <w:rFonts w:ascii="Times New Roman" w:cs="Times New Roman" w:eastAsia="Times New Roman" w:hAnsi="Times New Roman"/>
          <w:sz w:val="18"/>
          <w:szCs w:val="18"/>
          <w:b w:val="1"/>
          <w:bCs w:val="1"/>
          <w:color w:val="231F20"/>
        </w:rPr>
        <w:t>Board</w:t>
      </w:r>
      <w:r>
        <w:rPr>
          <w:rFonts w:ascii="Times New Roman" w:cs="Times New Roman" w:eastAsia="Times New Roman" w:hAnsi="Times New Roman"/>
          <w:sz w:val="18"/>
          <w:szCs w:val="18"/>
          <w:color w:val="231F20"/>
        </w:rPr>
        <w:t>”) authorized a share repurchase program (the “</w:t>
      </w:r>
      <w:r>
        <w:rPr>
          <w:rFonts w:ascii="Times New Roman" w:cs="Times New Roman" w:eastAsia="Times New Roman" w:hAnsi="Times New Roman"/>
          <w:sz w:val="18"/>
          <w:szCs w:val="18"/>
          <w:b w:val="1"/>
          <w:bCs w:val="1"/>
          <w:color w:val="231F20"/>
        </w:rPr>
        <w:t>Share Repurchase Program</w:t>
      </w:r>
      <w:r>
        <w:rPr>
          <w:rFonts w:ascii="Times New Roman" w:cs="Times New Roman" w:eastAsia="Times New Roman" w:hAnsi="Times New Roman"/>
          <w:sz w:val="18"/>
          <w:szCs w:val="18"/>
          <w:color w:val="231F20"/>
        </w:rPr>
        <w:t>”), under which the Company may repurchase up to US$50 million of its American depositary shares or ordinary shares (the “</w:t>
      </w:r>
      <w:r>
        <w:rPr>
          <w:rFonts w:ascii="Times New Roman" w:cs="Times New Roman" w:eastAsia="Times New Roman" w:hAnsi="Times New Roman"/>
          <w:sz w:val="18"/>
          <w:szCs w:val="18"/>
          <w:b w:val="1"/>
          <w:bCs w:val="1"/>
          <w:color w:val="231F20"/>
        </w:rPr>
        <w:t>Shares</w:t>
      </w:r>
      <w:r>
        <w:rPr>
          <w:rFonts w:ascii="Times New Roman" w:cs="Times New Roman" w:eastAsia="Times New Roman" w:hAnsi="Times New Roman"/>
          <w:sz w:val="18"/>
          <w:szCs w:val="18"/>
          <w:color w:val="231F20"/>
        </w:rPr>
        <w:t>”), effective immediately. The authorized term for carrying out the Share Repurchase Program is two years.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The share repurchases under the Share Repurchase Program will be carried out from time to time on the open market at prevailing market prices, in privately negotiated transactions, in block trades or through other legally permissible means, depending on market conditions and will be implemented in accordance with applicable rules and regulations. The Board will review the Share Repurchase Program periodically and may authorize adjustments of its terms and size. The Company expects to fund repurchases made under the Share Repurchase Program from its existing cash balance and cash generated from operations, which will not form a part of the Corporate Actions Budget under the Capital Management and Shareholder Return Policy as set out in the announcement of the Company dated November 30, 2023.</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The Company shall conduct the repurchases by exercising its powers pursuant to the repurchase mandate granted by the shareholders of the Company (the “</w:t>
      </w:r>
      <w:r>
        <w:rPr>
          <w:rFonts w:ascii="Times New Roman" w:cs="Times New Roman" w:eastAsia="Times New Roman" w:hAnsi="Times New Roman"/>
          <w:sz w:val="18"/>
          <w:szCs w:val="18"/>
          <w:b w:val="1"/>
          <w:bCs w:val="1"/>
          <w:color w:val="231F20"/>
        </w:rPr>
        <w:t>Shareholders</w:t>
      </w:r>
      <w:r>
        <w:rPr>
          <w:rFonts w:ascii="Times New Roman" w:cs="Times New Roman" w:eastAsia="Times New Roman" w:hAnsi="Times New Roman"/>
          <w:sz w:val="18"/>
          <w:szCs w:val="18"/>
          <w:color w:val="231F20"/>
        </w:rPr>
        <w:t>”) at the annual general meeting held on June 12, 2024 and, where applicable, any subsequently renewed or refreshed repurchase mandate granted by the Shareholders from time to time, and in compliance with the memorandum and articles of association of the Company, the Hong Kong Listing Rules, The Codes on Takeovers and Mergers and Share Buy-backs, the Companies Act (As Revised) of the Cayman Islands and all applicable laws and regulations to which the Company is subject.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both"/>
        <w:spacing w:after="0" w:line="256" w:lineRule="auto"/>
        <w:rPr>
          <w:sz w:val="20"/>
          <w:szCs w:val="20"/>
          <w:color w:val="auto"/>
        </w:rPr>
      </w:pPr>
      <w:r>
        <w:rPr>
          <w:rFonts w:ascii="Times New Roman" w:cs="Times New Roman" w:eastAsia="Times New Roman" w:hAnsi="Times New Roman"/>
          <w:sz w:val="18"/>
          <w:szCs w:val="18"/>
          <w:color w:val="231F20"/>
        </w:rPr>
        <w:t>Ms. Jingbo Wang, co-founder and chairwoman of Noah, commented, “This share repurchase program, along with the dividend payout we just completed, reflects our unwavering commitment to prioritizing shareholder interests and delivering sustained returns. While China’s wealth management industry is navigating a challenging period and undergoing a transition, we remain confident in Noah’s unique advantages stemming from our deep understanding of Mandarin- speaking high-net-worth individuals’ (HNWIs) needs and our ability to deliver products and services to this still-growing client base. We are one of a few independent firms that maintains access, through years of investor education, to a large group of qualified individual investors who continue to seek professional services.”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“As such, we believe that our stock is deeply undervalued and does not reflect our growth prospects, robust balance sheet and cash reserves, or the special bond we have formed with the Mandarin-speaking HNWIs globally. We value both our long-term and new shareholders and are committed to sharing our success with them through more proactive capital allocation policies moving forward.”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Full Year 2023 Dividend Payout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In late July and early August 2024, Noah rewarded its shareholders with a record RMB1,018 million (approximately US$140.1 million) dividend payout for full year 2023, equivalent to 100% of its annual non-GAAP net income, including the final dividend paid out of the Corporate Actions Budget and a special dividend paid out of the accumulated return surplus cash from the years prior to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Capital Management and Shareholder Return 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As set out in the announcement of the Company dated November 30, 2023, the Board had adopted the Capital Management and Shareholder Return Policy where up to 50% of the Company’s non- GAAP net income attributable to Shareholders of the preceding financial year will be allocated to the Corporate Actions Budget which will serve various purposes, including dividend distribution and share repurchases. Under the Capital Management and Shareholder Return Policy, no less than 35% of the Company’s non-GAAP net income attributable to Shareholders of the preceding financial year will be allocated toward dividends to be distributed in each calendar year, subject to various factors.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Corporate Actions Budget based on the Company’s financial performance in 2024 is expected to be determined and announced alongside the Company’s earnings results for the fourth quarter and full year ending on December 31, 2024.</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231F20"/>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“confident” and similar statements. Noah may also make written or oral forward-looking statements in its periodic reports to the U.S. Securities and Exchange Commission, in its annual reports to shareholders, in announcements, circulars or other publications made on the website of The Stock Exchange of Hong Kong Limited (the “</w:t>
      </w:r>
      <w:r>
        <w:rPr>
          <w:rFonts w:ascii="Times New Roman" w:cs="Times New Roman" w:eastAsia="Times New Roman" w:hAnsi="Times New Roman"/>
          <w:sz w:val="18"/>
          <w:szCs w:val="18"/>
          <w:b w:val="1"/>
          <w:bCs w:val="1"/>
          <w:color w:val="231F20"/>
        </w:rPr>
        <w:t>Hong Kong Stock Exchange</w:t>
      </w:r>
      <w:r>
        <w:rPr>
          <w:rFonts w:ascii="Times New Roman" w:cs="Times New Roman" w:eastAsia="Times New Roman" w:hAnsi="Times New Roman"/>
          <w:sz w:val="18"/>
          <w:szCs w:val="18"/>
          <w:color w:val="231F20"/>
        </w:rPr>
        <w:t>”), in press releases and other written materials and in oral statements made by its officers, directors or employees to third parties. Statements that are not historical facts, including statements about Noah’s beliefs and expectations, are forward-looking statements. Forward-looking statements involve inherent risks and uncertainties. These statements include, but are not limited to, estimates regarding the sufficiency of Noah’s cash and cash equivalents and liquidity risk. A number of factors could cause Noah’s actual results to differ materially from those contained in any forward-looking statement, including but not limited to the following: its goals and strategies; its future business development, financial condition and results of operations; the expected growth of the wealth management and asset management market in China and internationally; its expectations regarding demand for and market acceptance of the products it distributes; investment risks associated with investment products distributed to Noah’s investors, including the risk of default by counterparties or loss of value due to market or business conditions or misconduct by counterparties; its expectations regarding keeping and strengthening its relationships with key clients; relevant government policies and regulations relating to its industries; its ability to attract and retain qualified employees; its ability to stay abreast of market trends and technological advances; its plans to invest in research and development to enhance its product choices and service offerings; competition in its industries in China and internationally; general economic and business conditions globally and in China; and its ability to effectively protect its intellectual property rights and not to infringe on the intellectual property rights of others. Further information regarding these and other risks is included in Noah’s filings with the U.S. Securities and Exchange Commission and the Hong Kong Stock Exchange. All information provided in this announcement and in the attachments is as of the date of this announcement, and Noah does not undertake any obligation to update any such information, including forward-looking statements, as a result of new information, future events or otherwise, except as required under the applicable law.</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full version of the press release issued by the Company on August 29, 2024 announcing the aforementioned information is available at the Company’s Investor Relations website at https://ir.noahgroup.com/.</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231F20"/>
        </w:rPr>
        <w:t>Shareholders and potential investors should note that any repurchase may be done subject to market conditions and at the Board’s absolute discretion. There is no assurance of the timing, quantity or price of any repurchase. Shareholders and potential investors should therefore exercise caution when dealing in the Shares.</w:t>
      </w:r>
    </w:p>
    <w:p>
      <w:pPr>
        <w:spacing w:after="0" w:line="175"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231F20"/>
        </w:rPr>
        <w:t>By Order of the Board</w:t>
      </w:r>
    </w:p>
    <w:p>
      <w:pPr>
        <w:spacing w:after="0" w:line="2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231F20"/>
        </w:rPr>
        <w:t>Noah Holdings Private Wealth and Asset Management Limited</w:t>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231F20"/>
        </w:rPr>
        <w:t>Jingbo Wang</w:t>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i w:val="1"/>
          <w:iCs w:val="1"/>
          <w:color w:val="231F20"/>
        </w:rPr>
        <w:t>Chairwoman of the Board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Hong Kong, August 29, 2024</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231F20"/>
        </w:rPr>
        <w:t>As of the date of this announcement, the Board comprises Ms. Jingbo Wang, the chairwoman and Mr. Zhe Yin as Directors; Ms. Chia-Yue Chang, Mr. Kai Wang, Mr. Boquan He and Mr. David Zhang as non-executive Directors; and Ms. Xiangrong Li, Ms. Cynthia Jinhong Meng and Ms. May Yihong Wu as independent Directors.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left="10120"/>
        <w:spacing w:after="0"/>
        <w:rPr>
          <w:sz w:val="20"/>
          <w:szCs w:val="20"/>
          <w:color w:val="auto"/>
        </w:rPr>
      </w:pPr>
      <w:r>
        <w:rPr>
          <w:rFonts w:ascii="Times New Roman" w:cs="Times New Roman" w:eastAsia="Times New Roman" w:hAnsi="Times New Roman"/>
          <w:sz w:val="21"/>
          <w:szCs w:val="21"/>
          <w:b w:val="1"/>
          <w:bCs w:val="1"/>
          <w:color w:val="auto"/>
        </w:rPr>
        <w:t>Exhibit 99.2</w:t>
      </w:r>
    </w:p>
    <w:p>
      <w:pPr>
        <w:spacing w:after="0" w:line="2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231F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Noah Holdings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Noah Holdings Private Wealth and Asset Management Limited</w:t>
      </w:r>
    </w:p>
    <w:p>
      <w:pPr>
        <w:spacing w:after="0" w:line="227" w:lineRule="exact"/>
        <w:rPr>
          <w:sz w:val="20"/>
          <w:szCs w:val="20"/>
          <w:color w:val="auto"/>
        </w:rPr>
      </w:pPr>
    </w:p>
    <w:p>
      <w:pPr>
        <w:jc w:val="center"/>
        <w:ind w:right="-19"/>
        <w:spacing w:after="0" w:line="216" w:lineRule="exact"/>
        <w:rPr>
          <w:sz w:val="20"/>
          <w:szCs w:val="20"/>
          <w:color w:val="auto"/>
        </w:rPr>
      </w:pPr>
      <w:r>
        <w:rPr>
          <w:rFonts w:ascii="PMingLiU" w:cs="PMingLiU" w:eastAsia="PMingLiU" w:hAnsi="PMingLiU"/>
          <w:sz w:val="18"/>
          <w:szCs w:val="18"/>
          <w:color w:val="auto"/>
        </w:rPr>
        <w:t>諾亞控股私人財富資產管理有限公司</w:t>
      </w:r>
    </w:p>
    <w:p>
      <w:pPr>
        <w:spacing w:after="0" w:line="221" w:lineRule="exact"/>
        <w:rPr>
          <w:sz w:val="20"/>
          <w:szCs w:val="20"/>
          <w:color w:val="auto"/>
        </w:rPr>
      </w:pPr>
    </w:p>
    <w:p>
      <w:pPr>
        <w:jc w:val="both"/>
        <w:ind w:left="1920" w:right="1920" w:firstLine="7"/>
        <w:spacing w:after="0" w:line="277" w:lineRule="auto"/>
        <w:rPr>
          <w:sz w:val="20"/>
          <w:szCs w:val="20"/>
          <w:color w:val="auto"/>
        </w:rPr>
      </w:pPr>
      <w:r>
        <w:rPr>
          <w:rFonts w:ascii="Times New Roman" w:cs="Times New Roman" w:eastAsia="Times New Roman" w:hAnsi="Times New Roman"/>
          <w:sz w:val="17"/>
          <w:szCs w:val="17"/>
          <w:i w:val="1"/>
          <w:iCs w:val="1"/>
          <w:color w:val="231F20"/>
        </w:rPr>
        <w:t>(Incorporated in the Cayman Islands with limited liability under the name Noah Holdings Limited and carrying on business in Hong Kong as Noah Holdings Private Wealth and Asset Management Limited)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(Stock Code: 6686)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INSIDE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INTERIM RESULTS ANNOUNCEMENT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FOR THE SIX MONTHS ENDED JUNE 30,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This announcement is issued pursuant to Rule 13.09 of the Hong Kong Listing Rules and the Inside Information Provision under Part XIVA of the SFO.</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The Board is pleased to announce the unaudited consolidated interim results of the Company for the six months ended June 30, 2024, together with the comparative figures for the corresponding period in 2023. These interim results have been prepared under the U.S. GAAP, which are different from the IFRS, and reviewed by the Audit Committee.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In this announcement, “Noah,” “we,” “us” and “our” refer to the Company and where the context otherwise requires, the Group. Certain amounts and percentage figures included in this announcement have been subject to rounding adjustments, or have been rounded to one or two decimal places. Any discrepancies in any table, chart or elsewhere between totals and sums of amounts listed therein are due to rounding.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BUSINESS HIGHLIGHTS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In the first half of 2024, the global macroeconomic environment was characterized by turbulence with persistent inflation, geopolitical tensions, and uneven recovery paths across regions, leading to cautious consumer and business sentiment as well as diminished expectations for a Federal Reserve rate cut. China’s economy continued to face challenges following a slower-than- anticipated post-pandemic recovery with a struggling real estate sector and weak domestic demand, despite government measures to stimulate growth and stabilize markets, resulting in passive investment sentiment among HNW investors. Domestic capital markets experienced significant volatility, particularly in the primary market, which continued to face hurdles due to intermittent policy restrictions, leading to a slowdown in exits and institutional fundraising activities. Further compounding the challenges for the wealth management market was the collapse of certain non- compliant wealth management companies involved in capital pooling and real estate assets, which also resulted in a stricter regulatory environment. These interconnected factors underscore the necessity for strategic adaptation and prudent decision-making by investors to navigate in this complex and evolving landscape.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 w:name="page8"/>
    <w:bookmarkEnd w:id="7"/>
    <w:p>
      <w:pPr>
        <w:jc w:val="both"/>
        <w:spacing w:after="0" w:line="254" w:lineRule="auto"/>
        <w:rPr>
          <w:sz w:val="20"/>
          <w:szCs w:val="20"/>
          <w:color w:val="auto"/>
        </w:rPr>
      </w:pPr>
      <w:r>
        <w:rPr>
          <w:rFonts w:ascii="Times New Roman" w:cs="Times New Roman" w:eastAsia="Times New Roman" w:hAnsi="Times New Roman"/>
          <w:sz w:val="18"/>
          <w:szCs w:val="18"/>
          <w:color w:val="231F20"/>
        </w:rPr>
        <w:t>Amidst this challenging environment, the significant differences in economic conditions and interest rate landscapes between onshore and offshore markets seen earlier this year have persisted, with Chinese HNW individuals continuing to adopt a more cautious approach to their asset allocation strategies, prioritizing asset liquidity, security and global diversification across both their wealth portfolio and business operations. Our early strategic decision to exit domestic residential real estate in 2016, coupled with our ability to navigate difficult market conditions, has strengthened our industry position over the past year, especially as other firms continue to grapple with the aftermath of the real estate crisis and defaults on non-standardized single-counterparty private credit products. Meanwhile, with the slowdown in global institutional fundraising, global fund managers are also increasingly turning to underserved private wealth channels to fuel primary market fundraising. Having dutifully served these clients onshore for decades, we have earned their long-term trust and developed a deep understanding of their backgrounds and needs which uniquely positions us to guide them as they expand their horizons overseas. Our personalized service model, combined with expanding portfolio of global products, provides us with a significant competitive advantage.</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231F20"/>
        </w:rPr>
        <w:t>Our semi-annual Chief Investment Officer (“</w:t>
      </w:r>
      <w:r>
        <w:rPr>
          <w:rFonts w:ascii="Times New Roman" w:cs="Times New Roman" w:eastAsia="Times New Roman" w:hAnsi="Times New Roman"/>
          <w:sz w:val="18"/>
          <w:szCs w:val="18"/>
          <w:b w:val="1"/>
          <w:bCs w:val="1"/>
          <w:color w:val="231F20"/>
        </w:rPr>
        <w:t>CIO</w:t>
      </w:r>
      <w:r>
        <w:rPr>
          <w:rFonts w:ascii="Times New Roman" w:cs="Times New Roman" w:eastAsia="Times New Roman" w:hAnsi="Times New Roman"/>
          <w:sz w:val="18"/>
          <w:szCs w:val="18"/>
          <w:color w:val="231F20"/>
        </w:rPr>
        <w:t>”) office report reflects such latest asset allocation advice, encouraging clients to develop a thorough understanding of the global political, economic, industry and technological forces shaping markets to enhance their investment decision-making. Client and employee education is essential for optimizing wealth management strategies, as wealth creation, management and inheritance are deeply interconnected and require strategic asset allocation to ensure long-term success across generations.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As a leading private wealth manager recognized for our expertise in alternative investments and our extensive network of Chinese professional investors, these trends present enormous growth opportunities for us. While the turbulent macroeconomic environment continues to impact our onshore business over the short term, we are actively repositioning ourselves overseas in this new market environment to generate sustainable long-term growth. We recognize that these strategic investments in overseas expansion and global product portfolio will take additional time to mature in the near term, but we remain confident that we are on the right track to solidifying our position as the leading wealth and asset management partner for Mandarin-speaking HNW investors worldwide.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We are deeply committed to upholding the highest corporate governance standards, a commitment reflected in our recent changes to the Board. The appointment of Mr. David Zhang as a non- executive Director under the Hong Kong Listing Rules and as an independent Director under the rules and regulations of the New York Stock Exchange, along with Ms. Xiangrong Li as an independent Director, infuses our Board with fresh perspectives and diverse expertise, strengthening our governance framework. With Mr. Zhang’s extensive legal experience in securities offerings and mergers &amp; acquisitions, and Ms. Li’s strong background in accounting and financial management, we are confident that their contributions will be invaluable in guiding our strategic direction. By regularly rotating directors, we ensure that our Board remains dynamic, adaptable and well-equipped to navigate an evolving business landscape while maintaining robust oversight of our financial operations and adherence to best practices.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spacing w:after="0" w:line="253" w:lineRule="auto"/>
        <w:rPr>
          <w:sz w:val="20"/>
          <w:szCs w:val="20"/>
          <w:color w:val="auto"/>
        </w:rPr>
      </w:pPr>
      <w:r>
        <w:rPr>
          <w:rFonts w:ascii="Times New Roman" w:cs="Times New Roman" w:eastAsia="Times New Roman" w:hAnsi="Times New Roman"/>
          <w:sz w:val="18"/>
          <w:szCs w:val="18"/>
          <w:color w:val="231F20"/>
        </w:rPr>
        <w:t>We are dedicated to enhancing shareholder value as reflected in the capital management and shareholder return policy approved by the Board in November 2023, which allocates up to 50% of our annual non-GAAP net income attributable to the Shareholders of the preceding financial year towards a corporate actions budget which serves various purposes, including dividend distribution and share repurchases. Despite challenging market conditions, we maintain a strong and clean balance sheet and recently paid out (i) a final dividend of RMB509.0 million (approximately US$71.7 million) from the corporate actions budget equivalent to 50% of our non-GAAP net income attributable to Shareholders in 2023 and (ii) a special dividend of RMB509.0 million (approximately US$71.7 million) from our accumulated return surplus cash from the years prior to 2023, underscoring our unwavering commitment to prioritizing shareholder interests and delivering sustained returns, which positions us as an attractive option for investors seeking both growth potential and consistent returns in the wealth management sector. This substantial distribution not only reflects our robust liquidity position but also demonstrates our confidence in long-term growth prospects as we expand our footprint globally. We will maintain this shareholder-friendly approach and plan to propose distribution of dividends annually moving forward.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FINANCIAL HIGHLIGHTS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During the Reporting Period, our financial performance faced major challenges from both domestic and oversea macroenvironment as well as our ongoing internal structure transformation. Our net revenue for the six months ended June 30, 2024 was RMB1,265.4 million, representing a 27.5% decrease compared to the corresponding period in 2023, mainly due to a decline in distribution of insurance products. Our net income attributable to the Shareholders decreased by 58.7% from RMB559.6 million for the six months ended June 30, 2023 to RMB231.3 million for the six months ended June 30, 2024. Similarly, our Non-GAAP net income attributable to the Shareholders fell by 51.6% from RMB552.6 million during the same period last year to RMB267.2 million for the Reporting Period, mainly due to reduced net revenues and cost pressure from employee compensation and benefits.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Despite the challenges, we remain committed to investing in the oversea market by expanding our international relationship managers team and actively increasing our influence and wallet share among our Mandarin-speaking clients abroad. The transaction value of oversea products we distributed increased by 49.3% from RMB10.9 billion for the six months ended June 30, 2023 to RMB16.3 billion for the Reporting Period. Additionally, our AUM for oversea products grew by 14.3% from RMB34.2 billion as of June 30, 2023 to RMB39.1 billion as of June 30, 2024.</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Non-GAAP Financial Measures</w:t>
            </w: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6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231F20"/>
              </w:rPr>
              <w:t>For the Six Months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80" w:type="dxa"/>
            <w:vAlign w:val="bottom"/>
            <w:gridSpan w:val="4"/>
          </w:tcPr>
          <w:p>
            <w:pPr>
              <w:jc w:val="right"/>
              <w:ind w:right="1060"/>
              <w:spacing w:after="0"/>
              <w:rPr>
                <w:sz w:val="20"/>
                <w:szCs w:val="20"/>
                <w:color w:val="auto"/>
              </w:rPr>
            </w:pPr>
            <w:r>
              <w:rPr>
                <w:rFonts w:ascii="Times New Roman" w:cs="Times New Roman" w:eastAsia="Times New Roman" w:hAnsi="Times New Roman"/>
                <w:sz w:val="18"/>
                <w:szCs w:val="18"/>
                <w:b w:val="1"/>
                <w:bCs w:val="1"/>
                <w:color w:val="231F20"/>
              </w:rPr>
              <w:t>Ended June 30,</w:t>
            </w:r>
          </w:p>
        </w:tc>
        <w:tc>
          <w:tcPr>
            <w:tcW w:w="13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231F20"/>
              </w:rPr>
              <w:t>Change</w:t>
            </w:r>
          </w:p>
        </w:tc>
        <w:tc>
          <w:tcPr>
            <w:tcW w:w="0" w:type="dxa"/>
            <w:vAlign w:val="bottom"/>
          </w:tcPr>
          <w:p>
            <w:pPr>
              <w:spacing w:after="0"/>
              <w:rPr>
                <w:sz w:val="1"/>
                <w:szCs w:val="1"/>
                <w:color w:val="auto"/>
              </w:rPr>
            </w:pPr>
          </w:p>
        </w:tc>
      </w:tr>
      <w:tr>
        <w:trPr>
          <w:trHeight w:val="187"/>
        </w:trPr>
        <w:tc>
          <w:tcPr>
            <w:tcW w:w="69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290"/>
              <w:spacing w:after="0" w:line="188" w:lineRule="exact"/>
              <w:rPr>
                <w:sz w:val="20"/>
                <w:szCs w:val="20"/>
                <w:color w:val="auto"/>
              </w:rPr>
            </w:pPr>
            <w:r>
              <w:rPr>
                <w:rFonts w:ascii="Times New Roman" w:cs="Times New Roman" w:eastAsia="Times New Roman" w:hAnsi="Times New Roman"/>
                <w:sz w:val="18"/>
                <w:szCs w:val="18"/>
                <w:color w:val="231F20"/>
              </w:rPr>
              <w:t>2023</w:t>
            </w: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290"/>
              <w:spacing w:after="0" w:line="188" w:lineRule="exact"/>
              <w:rPr>
                <w:sz w:val="20"/>
                <w:szCs w:val="20"/>
                <w:color w:val="auto"/>
              </w:rPr>
            </w:pPr>
            <w:r>
              <w:rPr>
                <w:rFonts w:ascii="Times New Roman" w:cs="Times New Roman" w:eastAsia="Times New Roman" w:hAnsi="Times New Roman"/>
                <w:sz w:val="18"/>
                <w:szCs w:val="18"/>
                <w:b w:val="1"/>
                <w:bCs w:val="1"/>
                <w:color w:val="231F20"/>
              </w:rPr>
              <w:t>2024</w:t>
            </w:r>
          </w:p>
        </w:tc>
        <w:tc>
          <w:tcPr>
            <w:tcW w:w="3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231F20"/>
              </w:rPr>
              <w:t>(Unaudited)</w:t>
            </w:r>
          </w:p>
        </w:tc>
        <w:tc>
          <w:tcPr>
            <w:tcW w:w="320" w:type="dxa"/>
            <w:vAlign w:val="bottom"/>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231F20"/>
              </w:rPr>
              <w:t>(Unaudited)</w:t>
            </w:r>
          </w:p>
        </w:tc>
        <w:tc>
          <w:tcPr>
            <w:tcW w:w="320" w:type="dxa"/>
            <w:vAlign w:val="bottom"/>
          </w:tcPr>
          <w:p>
            <w:pPr>
              <w:spacing w:after="0"/>
              <w:rPr>
                <w:sz w:val="20"/>
                <w:szCs w:val="20"/>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i w:val="1"/>
                <w:iCs w:val="1"/>
                <w:color w:val="231F20"/>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0" w:type="dxa"/>
            <w:vAlign w:val="bottom"/>
            <w:gridSpan w:val="5"/>
          </w:tcPr>
          <w:p>
            <w:pPr>
              <w:ind w:left="500"/>
              <w:spacing w:after="0" w:line="196" w:lineRule="exact"/>
              <w:rPr>
                <w:sz w:val="20"/>
                <w:szCs w:val="20"/>
                <w:color w:val="auto"/>
              </w:rPr>
            </w:pPr>
            <w:r>
              <w:rPr>
                <w:rFonts w:ascii="Times New Roman" w:cs="Times New Roman" w:eastAsia="Times New Roman" w:hAnsi="Times New Roman"/>
                <w:sz w:val="18"/>
                <w:szCs w:val="18"/>
                <w:i w:val="1"/>
                <w:iCs w:val="1"/>
                <w:color w:val="231F20"/>
              </w:rPr>
              <w:t>(RMB in thousands, except percentages)</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Total revenues</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231F20"/>
              </w:rPr>
              <w:t>1,754,236</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231F20"/>
              </w:rPr>
              <w:t>1,274,843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(27.3)%</w:t>
            </w: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Net revenues</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231F20"/>
              </w:rPr>
              <w:t>1,745,230</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231F20"/>
              </w:rPr>
              <w:t>1,265,389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(27.5)%</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Income from operations</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231F20"/>
              </w:rPr>
              <w:t>628,302</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231F20"/>
              </w:rPr>
              <w:t>255,501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(59.3)%</w:t>
            </w: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Income before taxes and income from equity in affiliates</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710,194</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372,441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Net income</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231F20"/>
              </w:rPr>
              <w:t>555,631</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231F20"/>
              </w:rPr>
              <w:t>235,556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(57.6)%</w:t>
            </w: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Net income attributable to the shareholders of the Company</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559,638</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231,278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09"/>
        </w:trPr>
        <w:tc>
          <w:tcPr>
            <w:tcW w:w="6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Non-GAAP Financial Measures</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Net income attributable to the shareholders of the Company</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231F20"/>
              </w:rPr>
              <w:t>559,638</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231F20"/>
              </w:rPr>
              <w:t>231,278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(58.7)%</w:t>
            </w:r>
          </w:p>
        </w:tc>
        <w:tc>
          <w:tcPr>
            <w:tcW w:w="0" w:type="dxa"/>
            <w:vAlign w:val="bottom"/>
          </w:tcPr>
          <w:p>
            <w:pPr>
              <w:spacing w:after="0"/>
              <w:rPr>
                <w:sz w:val="1"/>
                <w:szCs w:val="1"/>
                <w:color w:val="auto"/>
              </w:rPr>
            </w:pPr>
          </w:p>
        </w:tc>
      </w:tr>
      <w:tr>
        <w:trPr>
          <w:trHeight w:val="216"/>
        </w:trPr>
        <w:tc>
          <w:tcPr>
            <w:tcW w:w="7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231F20"/>
              </w:rPr>
              <w:t>Add: share-based compensation expense</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231F20"/>
              </w:rPr>
              <w:t>(9,244)</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231F20"/>
              </w:rPr>
              <w:t>58,479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31F20"/>
              </w:rPr>
              <w:t>N/A</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231F20"/>
              </w:rPr>
              <w:t>Add: settlement expense (reversal)</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231F20"/>
              </w:rPr>
              <w:t>–</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231F20"/>
              </w:rPr>
              <w:t>(11,476)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N/A</w:t>
            </w:r>
          </w:p>
        </w:tc>
        <w:tc>
          <w:tcPr>
            <w:tcW w:w="0" w:type="dxa"/>
            <w:vAlign w:val="bottom"/>
          </w:tcPr>
          <w:p>
            <w:pPr>
              <w:spacing w:after="0"/>
              <w:rPr>
                <w:sz w:val="1"/>
                <w:szCs w:val="1"/>
                <w:color w:val="auto"/>
              </w:rPr>
            </w:pPr>
          </w:p>
        </w:tc>
      </w:tr>
      <w:tr>
        <w:trPr>
          <w:trHeight w:val="216"/>
        </w:trPr>
        <w:tc>
          <w:tcPr>
            <w:tcW w:w="7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231F20"/>
              </w:rPr>
              <w:t>Less: tax effect of adjustments</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231F20"/>
              </w:rPr>
              <w:t>(2,239)</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231F20"/>
              </w:rPr>
              <w:t>11,061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31F20"/>
              </w:rPr>
              <w:t>N/A</w:t>
            </w:r>
          </w:p>
        </w:tc>
        <w:tc>
          <w:tcPr>
            <w:tcW w:w="0" w:type="dxa"/>
            <w:vAlign w:val="bottom"/>
          </w:tcPr>
          <w:p>
            <w:pPr>
              <w:spacing w:after="0"/>
              <w:rPr>
                <w:sz w:val="1"/>
                <w:szCs w:val="1"/>
                <w:color w:val="auto"/>
              </w:rPr>
            </w:pPr>
          </w:p>
        </w:tc>
      </w:tr>
      <w:tr>
        <w:trPr>
          <w:trHeight w:val="243"/>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Adjusted net income attributable to the shareholders of the Company (non-GAAP)</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552,633</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267,220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Adjusted net income attributable to the Shareholders is a non-GAAP financial measure that excludes the income statement effects of all forms of share-based compensation expenses, non-cash settlement expenses (reversal) and net of relevant tax impact. A reconciliation of adjusted net income attributable to the Shareholders from net income attributable to the Shareholders, the most directly comparable GAAP measure, can be obtained by subtracting expenses for share-based compensations and non-cash settlement. All tax expense impact of such adjustments would also be considered. The Company believes that the non-GAAP financial measures help identify underlying trends in its business and enhance the overall understanding of the Company’s past performance and future prospects.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The non-GAAP financial measures disclosed by the Company should not be considered a substitute for financial measures prepared in accordance with U.S. GAAP. The financial results reported in accordance with U.S. GAAP and reconciliation of U.S. GAAP to non-GAAP results should be carefully evaluated. The non-GAAP financial measures used by the Company may be prepared differently from and, therefore, may not be comparable to similarly titled measures used by other companies.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spacing w:after="0" w:line="254" w:lineRule="auto"/>
        <w:rPr>
          <w:sz w:val="20"/>
          <w:szCs w:val="20"/>
          <w:color w:val="auto"/>
        </w:rPr>
      </w:pPr>
      <w:r>
        <w:rPr>
          <w:rFonts w:ascii="Times New Roman" w:cs="Times New Roman" w:eastAsia="Times New Roman" w:hAnsi="Times New Roman"/>
          <w:sz w:val="18"/>
          <w:szCs w:val="18"/>
          <w:color w:val="231F20"/>
        </w:rPr>
        <w:t>When evaluating the Company’s operating performance in the Reporting Period, management reviewed non-GAAP net income results reflecting adjustments to exclude the impact of share-based compensation, non-cash settlement expenses (reversal) and net of relevant tax impact. As such, the Company’s management believes that the presentation of the non-GAAP adjusted net income attributable to the Shareholders provides important supplemental information to investors regarding financial and business trends relating to its results of operations in a manner consistent with that used by management. Pursuant to U.S. GAAP, the Company recognized significant amounts of expenses for all forms of share-based compensation and non-cash settlement expenses (reversal) (net of tax impact). To make its financial results comparable period by period, the Company utilizes non-GAAP adjusted net income to better understand its historical business operations. The Company encourages investors and others to review its financial information in its entirety and not rely on a single financial measure.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BUSINESS REVIEW AND OUTLOOK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Business Review for the Reporting Period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As a leading HNW wealth management service provider with global asset management capabilities, we strive to deliver exceptional asset allocation and comprehensive services to Mandarin-speaking HNW individuals and institutions by connecting them with top asset managers around the world. At the core of our business is a deep understanding of our clients’ needs, a commitment to the “client-centricity” principle, and a prudent approach towards investments and product selection. We firmly believe that returns on wealth management and investment reflect perceptions of the future as well as our ability to bridge the gap between perception and reality, which in turn requires us to constantly refine our critical decision-making capabilities.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During the Reporting Period, our HNW clients continued to adopt a more cautious approach, prioritizing asset liquidity, security, and global diversification. Strategically, we continued to invest in overseas products and services to cater for client demand. We are assisting clients in building resilient portfolios by offering asset security and diversification, insurance products, defensive-driven strategies, and multi-regional wealth management services, while also carefully selecting products that provide cross-cycle growth opportunities. As market volatility intensifies, this strategic approach is resonating with clients, reinforcing their confidence in our ability to safeguard their wealth and underscoring our leadership in global wealth management.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spacing w:after="0" w:line="252" w:lineRule="auto"/>
        <w:rPr>
          <w:sz w:val="20"/>
          <w:szCs w:val="20"/>
          <w:color w:val="auto"/>
        </w:rPr>
      </w:pPr>
      <w:r>
        <w:rPr>
          <w:rFonts w:ascii="Times New Roman" w:cs="Times New Roman" w:eastAsia="Times New Roman" w:hAnsi="Times New Roman"/>
          <w:sz w:val="18"/>
          <w:szCs w:val="18"/>
          <w:color w:val="231F20"/>
        </w:rPr>
        <w:t>During the first half of 2024, we made significant progress in expanding our global footprint and product offerings. Although our overseas revenue decreased by 18.1% due to reduced carry income and insurance revenues, our recurring management fees grew by 7.2% from the same period last year, reflecting a higher proportion of fee-generating AUM in USD products. We raised US$338 million for overseas private equity, private credit and other primary market funds, representing a significant 40.2% year-over-year increase. These long-duration products generate a sustainable recurring stream of management fees, which will be a strategic priority for us going forward. AUM for overseas products reached US$5.4 billion, a 14.3% increase from the same period last year, now accounting for 25.4% of our total AUM, up from 21.8% for the same period last year. Overseas AUA, which includes third-party distributed products, increased to US$8.5 billion, as we continued to enhance the competitiveness of our overseas investment offerings by expanding coverage of top- tier global general partners and fund managers, while at the same time launching our own actively managed venture capital fund of funds and U.S. real estate products. In addition, to increase our influence and wallet share among overseas clients, we are expanding our international relationship management team with 113 members currently onboard, including 102 based in Hong Kong and 11 in Singapore. Active overseas clients increased by 62.8% compared to the same time period last year, driven by our continued investment in expanding our global product portfolio and distribution network. We have successfully launched corporate secretarial and real estate brokerage services in Dubai, UAE to assist our entrepreneurial clients in expanding their businesses overseas, with plans to introduce similar services in Japan and other markets. At the same time, we are in the process of establishing our Japanese subsidiary which is expected to be completed by year-end as we continue exploring opportunities in other global hubs. We aim to continue actively exploring opportunities in various global financial hubs to provide enhanced value-added services to our existing clients seeking to expand businesses and allocate assets overseas, and target local Mandarin-speaking clients.</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Domestically, our goal remains to stabilize operations and ensure full compliance with evolving regulatory requirements. We are nearing the completion of streamlining our branch network, reducing the total number from 75 to 15 since early last year, allowing us to further decrease overhead expenses while focusing resources to be allocated to key hub cities. We remain firmly committed to reducing fixed costs and optimizing mid and back-office personnel costs to enhance operational efficiency. To better navigate the evolving regulatory landscape for wealth management, improve client resource allocation and seize cross-selling opportunities, we have invested substantial time and effort in refining our client service model. As part of this initiative, we are establishing a dedicated business development and client solutions unit responsible for client acquisition, KYC and asset allocation advisory services. This unit will also collaborate with other business units to ensure each business unit remains well-informed of evolving client needs. Going forward, each business unit will be responsible for delivering product and service solutions and executing transactions. While we expect this transition to take a few quarters to fully implement and will continue to temporarily impact operations onshore, it will significantly enhance our client service quality once completed.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231F20"/>
        </w:rPr>
        <w:t>Wealth Management Business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During the Reporting Period, we generated total revenue of RMB881.8 million from our wealth management business, representing a 34.0% decrease from RMB1,336.7 million in the first half of 2023, mainly due to (i) a 44.1% decrease in total revenue generated from one-time commissions from RMB579.5 million for the six months ended June 30, 2023 to RMB324.1 million for the six months ended June 30, 2024, primarily due to reduced distribution of insurance products; (ii) a 15.6% decrease in total revenue generated from recurring service fees from RMB570.5 million for the six months ended June 30, 2023 to RMB481.5 million for the six months ended June 30, 2024, primarily due to less service fees from private secondary products associated with declining AUM in mainland China; (iii) a 85.7% decrease in total revenue generated from performance-based income from RMB77.3 million for the six months ended June 30, 2023 to RMB11.1 million for the six months ended June 30, 2024, primarily due to less performance-based income generated from offshore private equity products; and (iv) a 40.5% decrease in total revenue generated from other service fees from RMB109.4 million for the six months ended June 30, 2023 to RMB65.1 million for the six months ended June 30, 2024, primarily due to a reduction in value-added services provided to our clients. In the first half of 2024, we achieved an aggregate transaction value of RMB33.3 billion for the different types of investment products that we distributed, representing a 5.4% decrease compared to the six months ended June 30, 2023, mainly due to less mutual fund and private secondary product distributions.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Asset Management Business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During the Reporting Period, we generated total revenue of RMB373.3 million from our asset management business, representing a 4.3% decrease compared to the six months ended June 30, 2023, mainly due to (i) a 3.1% decrease in recurring service fees in the first half of 2024 compared to the corresponding period in 2023, primarily due to a decrease in recurring service fees generated from RMB private equity products; and (ii) a 9.2% decrease in performance-based income in the first half of 2024 compared to the corresponding period in 2023, resulting from a decrease in income generated from offshore private equity products. Despite these challenges, through Gopher Asset Management, one of our Consolidated Affiliated Entities, and Gopher Capital GP Ltd., a wholly-owned subsidiary of the Company, our AUM remained largely stable at RMB154.0 billion as of June 30, 2024, with a slight decrease of 1.8% compared to RMB156.9 billion as of June 30, 2023, among which our overseas AUM reached RMB39.1 billion, representing an increase</w:t>
      </w:r>
    </w:p>
    <w:p>
      <w:pPr>
        <w:spacing w:after="0" w:line="3"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231F20"/>
        </w:rPr>
        <w:t>of 14.3% compared to the six months ended June 30, 2023</w:t>
      </w:r>
      <w:r>
        <w:rPr>
          <w:rFonts w:ascii="Times New Roman" w:cs="Times New Roman" w:eastAsia="Times New Roman" w:hAnsi="Times New Roman"/>
          <w:sz w:val="29"/>
          <w:szCs w:val="29"/>
          <w:color w:val="231F20"/>
          <w:vertAlign w:val="superscript"/>
        </w:rPr>
        <w:t>1</w:t>
      </w:r>
      <w:r>
        <w:rPr>
          <w:rFonts w:ascii="Times New Roman" w:cs="Times New Roman" w:eastAsia="Times New Roman" w:hAnsi="Times New Roman"/>
          <w:sz w:val="18"/>
          <w:szCs w:val="18"/>
          <w:color w:val="231F20"/>
        </w:rPr>
        <w:t>, primarily driven by our expanded coverage of top-tier global general partners and hedge fund managers, as well as new fundraising of our actively managed USD products.</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As of June 30, 2024, we maintained a sound capital structure with total assets of RMB12.5 billion and no interest-bearing liabilities. Throughout the Reporting Period, we remained committed to full compliance with all relevant laws and regulations that had a material impact on our business, such as the SFO, Insurance Ordinance, and Trustee Ordinance,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13" w:lineRule="exact"/>
        <w:rPr>
          <w:sz w:val="20"/>
          <w:szCs w:val="20"/>
          <w:color w:val="auto"/>
        </w:rPr>
      </w:pPr>
    </w:p>
    <w:p>
      <w:pPr>
        <w:ind w:left="620" w:hanging="612"/>
        <w:spacing w:after="0"/>
        <w:tabs>
          <w:tab w:leader="none" w:pos="620" w:val="left"/>
        </w:tabs>
        <w:numPr>
          <w:ilvl w:val="0"/>
          <w:numId w:val="1"/>
        </w:numPr>
        <w:rPr>
          <w:rFonts w:ascii="Times New Roman" w:cs="Times New Roman" w:eastAsia="Times New Roman" w:hAnsi="Times New Roman"/>
          <w:sz w:val="30"/>
          <w:szCs w:val="30"/>
          <w:color w:val="231F20"/>
          <w:vertAlign w:val="superscript"/>
        </w:rPr>
      </w:pPr>
      <w:r>
        <w:rPr>
          <w:rFonts w:ascii="Times New Roman" w:cs="Times New Roman" w:eastAsia="Times New Roman" w:hAnsi="Times New Roman"/>
          <w:sz w:val="18"/>
          <w:szCs w:val="18"/>
          <w:color w:val="231F20"/>
        </w:rPr>
        <w:t>After foreign exchange adjustments.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231F20"/>
        </w:rPr>
        <w:t>Business Outlook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Looking ahead, we expect the global macroeconomic environment to remain challenging during the second half of 2024. China’s economy is currently grappling with several significant challenges, including subdued consumer spending, ongoing issues in the real estate sector, and underperforming capital markets that are limiting number of initial public offerings (IPOs) and slowing the pace of primary market portfolio exits. In response to these challenges, we are advising clients seeking overseas exposure to invest RMB into Qualified Domestic Institutional Investor (QDII) products to gain exposure to global markets and returns. To serve this demand, we have onboarded all major QDII mutual fund products onto our Fund Smile platform and recently launched a number of self-managed global market discretionary products through Gopher Asset Management. Additionally, we are extending partnerships with distributors of Qualified Domestic Limited Partnership (QDLP) products to expand our offerings of high-quality overseas assets available for RMB investment.</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Globally, with the Federal Reserve expected to begin cutting interest rates during the second half of 2024, we anticipate a gradual increase in client interest in alternative investment products as they shift their assets allocation away from cash management products and deposits. Known for our expertise and ability in offering to our clients alternative investments on a global scale, we are well-positioned to capitalize on this opportunity to grow our USD investment product AUA. To better serve our Mandarin-speaking clients worldwide, we will continue to expand our relationship manager team with a target to onboard 200 in the short term and 300 in the medium term, while increasing our presence in key international markets such as Southeast Asia, North America and Europe.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231F20"/>
        </w:rPr>
        <w:t>MANAGEMENT DISCUSSION AND ANALYSIS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We derive revenues from three business segments: wealth management, asset management and other services.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tcPr>
          <w:p>
            <w:pPr>
              <w:spacing w:after="0"/>
              <w:rPr>
                <w:sz w:val="18"/>
                <w:szCs w:val="18"/>
                <w:color w:val="auto"/>
              </w:rPr>
            </w:pPr>
          </w:p>
        </w:tc>
        <w:tc>
          <w:tcPr>
            <w:tcW w:w="29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the Six Months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900" w:type="dxa"/>
            <w:vAlign w:val="bottom"/>
          </w:tcPr>
          <w:p>
            <w:pPr>
              <w:spacing w:after="0"/>
              <w:rPr>
                <w:sz w:val="20"/>
                <w:szCs w:val="20"/>
                <w:color w:val="auto"/>
              </w:rPr>
            </w:pPr>
          </w:p>
        </w:tc>
        <w:tc>
          <w:tcPr>
            <w:tcW w:w="290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Ended June 30,</w:t>
            </w:r>
          </w:p>
        </w:tc>
        <w:tc>
          <w:tcPr>
            <w:tcW w:w="14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0" w:type="dxa"/>
            <w:vAlign w:val="bottom"/>
          </w:tcPr>
          <w:p>
            <w:pPr>
              <w:spacing w:after="0"/>
              <w:rPr>
                <w:sz w:val="1"/>
                <w:szCs w:val="1"/>
                <w:color w:val="auto"/>
              </w:rPr>
            </w:pPr>
          </w:p>
        </w:tc>
      </w:tr>
      <w:tr>
        <w:trPr>
          <w:trHeight w:val="187"/>
        </w:trPr>
        <w:tc>
          <w:tcPr>
            <w:tcW w:w="6900" w:type="dxa"/>
            <w:vAlign w:val="bottom"/>
          </w:tcPr>
          <w:p>
            <w:pPr>
              <w:spacing w:after="0"/>
              <w:rPr>
                <w:sz w:val="16"/>
                <w:szCs w:val="16"/>
                <w:color w:val="auto"/>
              </w:rPr>
            </w:pPr>
          </w:p>
        </w:tc>
        <w:tc>
          <w:tcPr>
            <w:tcW w:w="1240" w:type="dxa"/>
            <w:vAlign w:val="bottom"/>
            <w:tcBorders>
              <w:top w:val="single" w:sz="8" w:color="auto"/>
            </w:tcBorders>
          </w:tcPr>
          <w:p>
            <w:pPr>
              <w:jc w:val="right"/>
              <w:ind w:right="350"/>
              <w:spacing w:after="0" w:line="188" w:lineRule="exact"/>
              <w:rPr>
                <w:sz w:val="20"/>
                <w:szCs w:val="20"/>
                <w:color w:val="auto"/>
              </w:rPr>
            </w:pPr>
            <w:r>
              <w:rPr>
                <w:rFonts w:ascii="Times New Roman" w:cs="Times New Roman" w:eastAsia="Times New Roman" w:hAnsi="Times New Roman"/>
                <w:sz w:val="18"/>
                <w:szCs w:val="18"/>
                <w:color w:val="auto"/>
              </w:rPr>
              <w:t>2023</w:t>
            </w: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900" w:type="dxa"/>
            <w:vAlign w:val="bottom"/>
          </w:tcPr>
          <w:p>
            <w:pPr>
              <w:spacing w:after="0"/>
              <w:rPr>
                <w:sz w:val="20"/>
                <w:szCs w:val="20"/>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00" w:type="dxa"/>
            <w:vAlign w:val="bottom"/>
          </w:tcPr>
          <w:p>
            <w:pPr>
              <w:spacing w:after="0"/>
              <w:rPr>
                <w:sz w:val="20"/>
                <w:szCs w:val="20"/>
                <w:color w:val="auto"/>
              </w:rPr>
            </w:pPr>
          </w:p>
        </w:tc>
        <w:tc>
          <w:tcPr>
            <w:tcW w:w="434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i w:val="1"/>
                <w:iCs w:val="1"/>
                <w:color w:val="auto"/>
                <w:w w:val="99"/>
              </w:rPr>
              <w:t>(RMB in thousands, except percentages)</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Wealth management business: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31F20"/>
              </w:rPr>
              <w:t>One-time commissions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579,474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324,061</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(44.1)%</w:t>
            </w:r>
          </w:p>
        </w:tc>
        <w:tc>
          <w:tcPr>
            <w:tcW w:w="0" w:type="dxa"/>
            <w:vAlign w:val="bottom"/>
          </w:tcPr>
          <w:p>
            <w:pPr>
              <w:spacing w:after="0"/>
              <w:rPr>
                <w:sz w:val="1"/>
                <w:szCs w:val="1"/>
                <w:color w:val="auto"/>
              </w:rPr>
            </w:pP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Recurring service fees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31F20"/>
              </w:rPr>
              <w:t>570,522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481,518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(15.6)%</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31F20"/>
              </w:rPr>
              <w:t>Performance-based income</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77,330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11,082</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(85.7)%</w:t>
            </w:r>
          </w:p>
        </w:tc>
        <w:tc>
          <w:tcPr>
            <w:tcW w:w="0" w:type="dxa"/>
            <w:vAlign w:val="bottom"/>
          </w:tcPr>
          <w:p>
            <w:pPr>
              <w:spacing w:after="0"/>
              <w:rPr>
                <w:sz w:val="1"/>
                <w:szCs w:val="1"/>
                <w:color w:val="auto"/>
              </w:rPr>
            </w:pP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Other service fees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31F20"/>
              </w:rPr>
              <w:t>109,358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65,093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(40.5)%</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Total revenue for wealth management business: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1,336,684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881,754</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(34.0)%</w:t>
            </w:r>
          </w:p>
        </w:tc>
        <w:tc>
          <w:tcPr>
            <w:tcW w:w="0" w:type="dxa"/>
            <w:vAlign w:val="bottom"/>
          </w:tcPr>
          <w:p>
            <w:pPr>
              <w:spacing w:after="0"/>
              <w:rPr>
                <w:sz w:val="1"/>
                <w:szCs w:val="1"/>
                <w:color w:val="auto"/>
              </w:rPr>
            </w:pPr>
          </w:p>
        </w:tc>
      </w:tr>
      <w:tr>
        <w:trPr>
          <w:trHeight w:val="210"/>
        </w:trPr>
        <w:tc>
          <w:tcPr>
            <w:tcW w:w="69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 management business: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One-time commissions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31F20"/>
              </w:rPr>
              <w:t>Recurring service fees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353,046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342,010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(3.1)%</w:t>
            </w:r>
          </w:p>
        </w:tc>
        <w:tc>
          <w:tcPr>
            <w:tcW w:w="0" w:type="dxa"/>
            <w:vAlign w:val="bottom"/>
          </w:tcPr>
          <w:p>
            <w:pPr>
              <w:spacing w:after="0"/>
              <w:rPr>
                <w:sz w:val="1"/>
                <w:szCs w:val="1"/>
                <w:color w:val="auto"/>
              </w:rPr>
            </w:pP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Performance-based income</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31F20"/>
              </w:rPr>
              <w:t>34,388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31,218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(9.2)%</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Total revenue for asset management business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389,930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373,272</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(4.3)%</w:t>
            </w:r>
          </w:p>
        </w:tc>
        <w:tc>
          <w:tcPr>
            <w:tcW w:w="0" w:type="dxa"/>
            <w:vAlign w:val="bottom"/>
          </w:tcPr>
          <w:p>
            <w:pPr>
              <w:spacing w:after="0"/>
              <w:rPr>
                <w:sz w:val="1"/>
                <w:szCs w:val="1"/>
                <w:color w:val="auto"/>
              </w:rPr>
            </w:pPr>
          </w:p>
        </w:tc>
      </w:tr>
      <w:tr>
        <w:trPr>
          <w:trHeight w:val="209"/>
        </w:trPr>
        <w:tc>
          <w:tcPr>
            <w:tcW w:w="69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businesses: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service fees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27,622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19,817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Total revenue for other business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27,622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19,817</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(28.3)%</w:t>
            </w:r>
          </w:p>
        </w:tc>
        <w:tc>
          <w:tcPr>
            <w:tcW w:w="0" w:type="dxa"/>
            <w:vAlign w:val="bottom"/>
          </w:tcPr>
          <w:p>
            <w:pPr>
              <w:spacing w:after="0"/>
              <w:rPr>
                <w:sz w:val="1"/>
                <w:szCs w:val="1"/>
                <w:color w:val="auto"/>
              </w:rPr>
            </w:pPr>
          </w:p>
        </w:tc>
      </w:tr>
      <w:tr>
        <w:trPr>
          <w:trHeight w:val="250"/>
        </w:trPr>
        <w:tc>
          <w:tcPr>
            <w:tcW w:w="690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1,754,236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1,274,843</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Our total revenue decreased by 27.3% from RMB1,754.2 million for the six months ended June 30, 2023 to RMB1,274.8 million for the six months ended June 30, 2024. The decrease in total revenues was primarily due to a decrease in distribution of insurance products and less performance-based income from private equity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Wealth Management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For the wealth management business, our total revenue decreased by 34.0% from RMB1,336.7 million for the six months ended June 30, 2023 to RMB881.8 million for the six months ended June 30, 2024. Our transaction value decreased by 5.4% from RMB35.2 billion for the six months ended June 30, 2023 to RMB33.3 billion for the six months ended June 30, 2024:</w:t>
      </w:r>
    </w:p>
    <w:p>
      <w:pPr>
        <w:spacing w:after="0" w:line="176" w:lineRule="exact"/>
        <w:rPr>
          <w:sz w:val="20"/>
          <w:szCs w:val="20"/>
          <w:color w:val="auto"/>
        </w:rPr>
      </w:pPr>
    </w:p>
    <w:p>
      <w:pPr>
        <w:ind w:left="660" w:hanging="598"/>
        <w:spacing w:after="0" w:line="282" w:lineRule="auto"/>
        <w:tabs>
          <w:tab w:leader="none" w:pos="660" w:val="left"/>
        </w:tabs>
        <w:numPr>
          <w:ilvl w:val="0"/>
          <w:numId w:val="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Total revenue from one-time commissions decreased by 44.1% from RMB579.5 million for the six months ended June 30, 2023 to RMB324.1 million for the six months ended June 30, 2024, primarily due to decreases in distribution of insurance products.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ind w:left="660" w:hanging="598"/>
        <w:spacing w:after="0" w:line="282" w:lineRule="auto"/>
        <w:tabs>
          <w:tab w:leader="none" w:pos="66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Total revenue from recurring service fees decreased by 15.6% from RMB570.5 million for the six months ended June 30, 2023 to RMB481.5 million for the six months ended June 30, 2024, primarily due to less service fees charged from fund managers or funds under our advisory.</w:t>
      </w:r>
    </w:p>
    <w:p>
      <w:pPr>
        <w:spacing w:after="0" w:line="161" w:lineRule="exact"/>
        <w:rPr>
          <w:rFonts w:ascii="Times New Roman" w:cs="Times New Roman" w:eastAsia="Times New Roman" w:hAnsi="Times New Roman"/>
          <w:sz w:val="18"/>
          <w:szCs w:val="18"/>
          <w:color w:val="231F20"/>
        </w:rPr>
      </w:pPr>
    </w:p>
    <w:p>
      <w:pPr>
        <w:ind w:left="660" w:hanging="598"/>
        <w:spacing w:after="0" w:line="282" w:lineRule="auto"/>
        <w:tabs>
          <w:tab w:leader="none" w:pos="66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Total revenue from performance-based income decreased by 85.7% from RMB77.3 million for the six months ended June 30, 2023 to RMB11.1 million for the six months ended June 30, 2024, primarily due to less performance-based income generated from offshore private equity products.</w:t>
      </w:r>
    </w:p>
    <w:p>
      <w:pPr>
        <w:spacing w:after="0" w:line="161" w:lineRule="exact"/>
        <w:rPr>
          <w:rFonts w:ascii="Times New Roman" w:cs="Times New Roman" w:eastAsia="Times New Roman" w:hAnsi="Times New Roman"/>
          <w:sz w:val="18"/>
          <w:szCs w:val="18"/>
          <w:color w:val="231F20"/>
        </w:rPr>
      </w:pPr>
    </w:p>
    <w:p>
      <w:pPr>
        <w:ind w:left="660" w:hanging="598"/>
        <w:spacing w:after="0" w:line="282" w:lineRule="auto"/>
        <w:tabs>
          <w:tab w:leader="none" w:pos="66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Total revenue from other service fees decreased by 40.5% from RMB109.4 million for the six months ended June 30, 2023 to RMB65.1 million for the six months ended June 30, 2024, primarily due to less value-added services that we provided to our clients.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Asset Management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For the asset management business, our total revenue decreased by 4.3% from RMB389.9 million for the six months ended June 30, 2023 to RMB373.3 million for the six months ended June 30, 2024. Gopher’s AUM remained stable at RMB154.0 billion as of June 30, 2024 compared to RMB154.6 billion as of December 31, 2023, and showed a slight decrease of 1.8% from RMB156.9 billion as of June 30, 2023:</w:t>
      </w:r>
    </w:p>
    <w:p>
      <w:pPr>
        <w:spacing w:after="0" w:line="176" w:lineRule="exact"/>
        <w:rPr>
          <w:sz w:val="20"/>
          <w:szCs w:val="20"/>
          <w:color w:val="auto"/>
        </w:rPr>
      </w:pPr>
    </w:p>
    <w:p>
      <w:pPr>
        <w:ind w:left="660" w:hanging="598"/>
        <w:spacing w:after="0" w:line="282" w:lineRule="auto"/>
        <w:tabs>
          <w:tab w:leader="none" w:pos="66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Total revenue from one-time commissions decreased by 98.2% from RMB2.5 million for the six months ended June 30, 2023 to RMB44,000 for the six months ended June 30, 2024, mainly due to a decrease in income generated from RMB private equity products.</w:t>
      </w:r>
    </w:p>
    <w:p>
      <w:pPr>
        <w:spacing w:after="0" w:line="161" w:lineRule="exact"/>
        <w:rPr>
          <w:rFonts w:ascii="Times New Roman" w:cs="Times New Roman" w:eastAsia="Times New Roman" w:hAnsi="Times New Roman"/>
          <w:sz w:val="18"/>
          <w:szCs w:val="18"/>
          <w:color w:val="231F20"/>
        </w:rPr>
      </w:pPr>
    </w:p>
    <w:p>
      <w:pPr>
        <w:ind w:left="660" w:hanging="598"/>
        <w:spacing w:after="0" w:line="282" w:lineRule="auto"/>
        <w:tabs>
          <w:tab w:leader="none" w:pos="66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Total revenue from recurring service fees slightly decreased by 3.1% from RMB353.0 million for the six months ended June 30, 2023 to RMB342.0 million for the six months ended June 30, 2024, which aligned with our AUM trend.</w:t>
      </w:r>
    </w:p>
    <w:p>
      <w:pPr>
        <w:spacing w:after="0" w:line="161" w:lineRule="exact"/>
        <w:rPr>
          <w:rFonts w:ascii="Times New Roman" w:cs="Times New Roman" w:eastAsia="Times New Roman" w:hAnsi="Times New Roman"/>
          <w:sz w:val="18"/>
          <w:szCs w:val="18"/>
          <w:color w:val="231F20"/>
        </w:rPr>
      </w:pPr>
    </w:p>
    <w:p>
      <w:pPr>
        <w:ind w:left="660" w:hanging="598"/>
        <w:spacing w:after="0" w:line="282" w:lineRule="auto"/>
        <w:tabs>
          <w:tab w:leader="none" w:pos="66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Total revenue from performance-based income decreased by 9.2% from RMB34.4 million for the six months ended June 30, 2023 to RMB31.2 million for the six months ended June 30, 2024, primarily due to decreases generated from offshore private equity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Other Businesses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For other businesses, our total revenue was RMB19.8 million for the six months ended June 30, 2024, representing a 28.3% decrease from RMB27.6 million for the six months ended June 30, 2023, primarily due to our continuous wind-down of our lending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Operating Costs and Expenses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Our financial condition and operating results are directly affected by our operating cost and expenses, primarily consisting of (i) compensation and benefits, including salaries and commissions for our relationship managers, share-based compensation expenses, performance- based bonuses, and other employee salaries and bonuses, (ii) selling expenses, (iii) general and administrative expenses, (iv) provision for credit losses, and (v) other operating expenses, which are partially offset by the receipt of government subsidies. Our operating costs and expenses are primarily affected by several factors, including the number of our employees, rental expenses and certain non-cash charges.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6900" w:type="dxa"/>
            <w:vAlign w:val="bottom"/>
          </w:tcPr>
          <w:p>
            <w:pPr>
              <w:spacing w:after="0"/>
              <w:rPr>
                <w:sz w:val="18"/>
                <w:szCs w:val="18"/>
                <w:color w:val="auto"/>
              </w:rPr>
            </w:pPr>
          </w:p>
        </w:tc>
        <w:tc>
          <w:tcPr>
            <w:tcW w:w="290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the Six Months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900" w:type="dxa"/>
            <w:vAlign w:val="bottom"/>
          </w:tcPr>
          <w:p>
            <w:pPr>
              <w:spacing w:after="0"/>
              <w:rPr>
                <w:sz w:val="20"/>
                <w:szCs w:val="20"/>
                <w:color w:val="auto"/>
              </w:rPr>
            </w:pPr>
          </w:p>
        </w:tc>
        <w:tc>
          <w:tcPr>
            <w:tcW w:w="29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Ended June 30,</w:t>
            </w:r>
          </w:p>
        </w:tc>
        <w:tc>
          <w:tcPr>
            <w:tcW w:w="14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0" w:type="dxa"/>
            <w:vAlign w:val="bottom"/>
          </w:tcPr>
          <w:p>
            <w:pPr>
              <w:spacing w:after="0"/>
              <w:rPr>
                <w:sz w:val="1"/>
                <w:szCs w:val="1"/>
                <w:color w:val="auto"/>
              </w:rPr>
            </w:pPr>
          </w:p>
        </w:tc>
      </w:tr>
      <w:tr>
        <w:trPr>
          <w:trHeight w:val="187"/>
        </w:trPr>
        <w:tc>
          <w:tcPr>
            <w:tcW w:w="6900" w:type="dxa"/>
            <w:vAlign w:val="bottom"/>
          </w:tcPr>
          <w:p>
            <w:pPr>
              <w:spacing w:after="0"/>
              <w:rPr>
                <w:sz w:val="16"/>
                <w:szCs w:val="16"/>
                <w:color w:val="auto"/>
              </w:rPr>
            </w:pPr>
          </w:p>
        </w:tc>
        <w:tc>
          <w:tcPr>
            <w:tcW w:w="1240" w:type="dxa"/>
            <w:vAlign w:val="bottom"/>
            <w:tcBorders>
              <w:top w:val="single" w:sz="8" w:color="auto"/>
            </w:tcBorders>
          </w:tcPr>
          <w:p>
            <w:pPr>
              <w:jc w:val="right"/>
              <w:ind w:right="350"/>
              <w:spacing w:after="0" w:line="188" w:lineRule="exact"/>
              <w:rPr>
                <w:sz w:val="20"/>
                <w:szCs w:val="20"/>
                <w:color w:val="auto"/>
              </w:rPr>
            </w:pPr>
            <w:r>
              <w:rPr>
                <w:rFonts w:ascii="Times New Roman" w:cs="Times New Roman" w:eastAsia="Times New Roman" w:hAnsi="Times New Roman"/>
                <w:sz w:val="18"/>
                <w:szCs w:val="18"/>
                <w:color w:val="auto"/>
              </w:rPr>
              <w:t>2023</w:t>
            </w:r>
          </w:p>
        </w:tc>
        <w:tc>
          <w:tcPr>
            <w:tcW w:w="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jc w:val="center"/>
              <w:ind w:lef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900" w:type="dxa"/>
            <w:vAlign w:val="bottom"/>
          </w:tcPr>
          <w:p>
            <w:pPr>
              <w:spacing w:after="0"/>
              <w:rPr>
                <w:sz w:val="20"/>
                <w:szCs w:val="20"/>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(Unaudited)</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i w:val="1"/>
                <w:i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(RMB in thousands)</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Wealth management</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827,500</w:t>
            </w:r>
          </w:p>
        </w:tc>
        <w:tc>
          <w:tcPr>
            <w:tcW w:w="16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747,550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231F20"/>
              </w:rPr>
              <w:t>Asset management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231F20"/>
              </w:rPr>
              <w:t>203,905</w:t>
            </w:r>
          </w:p>
        </w:tc>
        <w:tc>
          <w:tcPr>
            <w:tcW w:w="16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201,272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(1.3)%</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Other businesses</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231F20"/>
              </w:rPr>
              <w:t>85,523</w:t>
            </w:r>
          </w:p>
        </w:tc>
        <w:tc>
          <w:tcPr>
            <w:tcW w:w="16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61,066</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(28.6)%</w:t>
            </w:r>
          </w:p>
        </w:tc>
        <w:tc>
          <w:tcPr>
            <w:tcW w:w="0" w:type="dxa"/>
            <w:vAlign w:val="bottom"/>
          </w:tcPr>
          <w:p>
            <w:pPr>
              <w:spacing w:after="0"/>
              <w:rPr>
                <w:sz w:val="1"/>
                <w:szCs w:val="1"/>
                <w:color w:val="auto"/>
              </w:rPr>
            </w:pPr>
          </w:p>
        </w:tc>
      </w:tr>
      <w:tr>
        <w:trPr>
          <w:trHeight w:val="209"/>
        </w:trPr>
        <w:tc>
          <w:tcPr>
            <w:tcW w:w="69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1,116,928</w:t>
            </w:r>
          </w:p>
        </w:tc>
        <w:tc>
          <w:tcPr>
            <w:tcW w:w="16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1,009,888</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Our operating costs and expenses decreased by 9.6% from RMB1,116.9 million for the six months ended June 30, 2023 to RMB1,009.9 million for the six months ended June 30, 2024. The decrease in operating costs and expenses was primarily driven by cost control measures implemented.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Wealth Management Business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For the wealth management business, our operating costs and expenses decreased by 9.7% from RMB827.5 million for the six months ended June 30, 2023 to RMB747.6 million for the six months ended June 30, 2024, primarily due to less selling expenses incurred in the first half of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Asset Management Business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For the asset management business, our operating costs and expenses decreased by 1.3% from RMB203.9 million for the six months ended June 30, 2023 to RMB201.3 million for the six months ended June 30,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Other Businesses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For other businesses, our operating costs and expenses for the six months ended June 30, 2024 were RMB61.1 million, representing a 28.6% decrease from RMB85.5 million for the six months ended June 30, 2023, primarily due to our continuous winding-down of our lending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Compensation and Benefits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Compensation and benefits mainly include salaries and commissions for our relationship managers, salaries and bonuses for investment professionals and other employees, share-based compensation expenses for our employees and Directors, and bonuses related to performance-based income. Our total compensation and benefits decreased by 9.2% from RMB755.2 million for the six months ended June 30, 2023 to RMB685.8 million for the six months ended June 30, 2024.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For the wealth management business, our compensation and benefits decreased by 8.7% from RMB591.9 million in for the six months ended June 30, 2023 to RMB540.3 million for the six months ended June 30, 2024. For the six months ended June 30, 2024, our relationship manager compensation decreased by 17.9% compared to the six months ended June 30, 2023, aligning with the decreases in one-time commissions. Our other compensation increased by 2.0% compared to the six months ended June 30, 2023, mainly due to increases in share-based compensation.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For the asset management business, our compensation and benefits decreased by 15.0% from RMB146.0 million for the six months ended June 30, 2023 to RMB124.1 million for the six months ended June 30, 2024, primarily due to our cost control strategy over employee headcounts.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Selling Expenses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Our selling expenses primarily include (i) expenses associated with the operations of service centers, such as rental expenses, and (ii) expenses for online and offline marketing activities.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For the wealth management business, our selling expenses decreased by 42.1% from RMB156.9 million for the six months ended June 30, 2023 to RMB90.9 million for the six months ended June 30, 2024, primarily due to declining number of client events hosted.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For the asset management business, our selling expenses decreased by 42.5% from RMB42.1 million for the six months ended June 30, 2023 to RMB24.2 million for the six months ended June 30, 2024, primarily due to less marketing activities.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General and Administrative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Our general and administrative expenses primarily include rental and related expenses of our leased office spaces and professional service fees. The main items include rental expenses for our Group and regional headquarters and offices, depreciation expenses, audit expenses and consulting expenses, among others.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For the wealth management business, our general and administrative expenses increased by 27.5% from RMB76.2 million for the six months ended June 30, 2023 to RMB97.2 million for the six months ended June 30, 2024, primarily due to more depreciation expense incurred relating to our new headquarter which was in use since May 2023.</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For the asset management business, our general and administrative expenses increased by 42.7% from RMB23.1 million for the six months ended June 30, 2023 to RMB33.0 million for the six months ended June 30, 2024, primarily due to more legal expenses incurred in the first half of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Provision for or Reversal of Credit Losses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Provision for credit losses represents net changes of the allowance for loan losses as well as other financial assets.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For the wealth management business, our provision for credit losses for the six months ended June 30, 2024 was RMB4.7 million, while reversal of credit losses was RMB2.9 million for the six months ended June 30, 2023, primarily due to accrual of allowance for accounts receivable relating to certain funds.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spacing w:after="0" w:line="266" w:lineRule="auto"/>
        <w:rPr>
          <w:sz w:val="20"/>
          <w:szCs w:val="20"/>
          <w:color w:val="auto"/>
        </w:rPr>
      </w:pPr>
      <w:r>
        <w:rPr>
          <w:rFonts w:ascii="Times New Roman" w:cs="Times New Roman" w:eastAsia="Times New Roman" w:hAnsi="Times New Roman"/>
          <w:sz w:val="18"/>
          <w:szCs w:val="18"/>
          <w:color w:val="231F20"/>
        </w:rPr>
        <w:t>For the asset management business, our provision for credit losses for the six months ended June 30, 2024 was RMB0.9 million, while reversal of credit losses was RMB0.9 million for the six months ended June 30, 2023. The majority of such provision for the six months ended June 30, 2024 were accrued for receivables accounts related to several private equity products.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For other business, our reversal of credit losses for the six months ended June 30, 2024 was RMB6.0 million, while reversal of credit losses was RMB1.7 million for the six months ended June 30, 2023. The reversal of credit losses for the six months ended June 30, 2024 were related to our periodic assessment on expected collection of our loan receivables.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Other Operating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Our other operating expenses mainly include various expenses incurred directly in relation to our other service fees.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For the wealth management business, our other operating expenses increased by 43.7% from RMB16.6 million for the six months ended June 30, 2023 to RMB23.8 million for the six months ended June 30, 2024, primarily driven by higher costs relating to various expenditures of trust business.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For the asset management business, our other operating expenses increased significantly from RMB1.5 million for the six months ended June 30, 2023 to RMB23.5 million for the six months ended June 30, 2024, primarily due to a one-off expense Gopher paid to one of its funds as general partner.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For other business, our other operating expenses decreased by 68.1% from RMB49.8 million for the six months ended June 30, 2023 to RMB15.9 million for the six months ended June 30, 2024, primarily due to our continuous winding-down of our lending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Government Subsidies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Our government subsidies are cash subsidies received in the PRC from local governments as incentives for investing and operating in certain local districts.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Such subsidies are used by us for general corporate purposes and are reflected as an offset to our operating costs and expenses.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For the wealth management business, our government subsidies decreased by 16.5% from RMB11.2 million for the six months ended June 30, 2023 to RMB9.3 million for the six months ended June 30, 2024, primarily due to a reduction in government subsidies received from local governments in the first half of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For the asset management business, our government subsidies decreased by 43.5% from RMB7.9 million for the six months ended June 30, 2023 to RMB4.4 million for the six months ended June 30, 2024, primarily due to a reduction in government subsidies received from local governments in the first half of 2024.</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231F20"/>
        </w:rPr>
        <w:t>Income from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As a result of the foregoing, our income from operation decreased by 59.3% from RMB628.3 million for the six months ended June 30, 2023 to RMB255.5 million for the six months ended June 30,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Other Income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Our total other income increased by 42.8% from RMB81.9 million for the six months ended June 30, 2023 to RMB116.9 million for the six months ended June 30, 2024. The increase in other income was primarily attributable to increases in interest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Income from Equity in Affiliates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Our loss from equity in affiliates was RMB53.9 million for the six months ended June 30, 2024, compared with income from equity in affiliates of RMB5.2 million for the six months ended June 30, 2023. The loss was primarily due to a decrease in fair value of the funds that Gopher manages.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Net Income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As a result of the foregoing, our net income decreased by 57.6% from RMB555.6 million for the six months ended June 30, 2023 to RMB235.6 million for the six months ended June 30,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Liquidity and Capital Resources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We finance our operations primarily through cash generated from our operating activities. Our principal use of cash for the six months ended June 30, 2024 was for operating, investing and financing activities. As of June 30, 2024, we had RMB4,604.9 million in cash and cash equivalents, consisting of cash on hand, demand deposits, fixed term deposits and money market funds which are unrestricted as to withdrawal and use. As of June 30, 2024, our cash and cash equivalents of RMB23.0 million was held by the consolidated funds, which although not legally restricted, is not available to our general liquidity needs as the use of such funds is generally limited to the investment activities of the consolidated funds. We believe that our current cash and anticipated cash flow from operations will be sufficient to meet our anticipated cash needs, including our cash needs for at least the next 12 months. We may, however, need additional capital in the future to address unforeseen business conditions or other developments, including any potential investments or acquisitions we may pursue.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Significant Investments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Company did not make or hold any significant investments during the six months ended June 30, 2024.</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231F20"/>
        </w:rPr>
        <w:t>Material Acquisitions and Disposals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During the Reporting Period, the Company did not conduct any material acquisitions or disposals of subsidiaries and affiliated companies.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Pledge of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As of June 30, 2024, we did not pledge any assets (as of December 31, 2023: nil).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Future Plans for Material Investments or Capital Asset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As of June 30, 2024, the Group did not have detailed future plans for material investments or capital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Gearing Ratio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As of June 30, 2024, the Company’s gearing ratio (i.e., total liabilities divided by total assets, in percentage) was 22.0% (as of December 31, 2023: 17.8%).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Accounts Receivable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Accounts receivable represents amounts invoiced or we have the right to invoice. As we are entitled to unconditional right to consideration in exchange for services transferred to customers, we therefore do not recognize any contract asset. As of June 30, 2024, 90.6% of the balance of our accounts receivable was within one year (as of December 31, 2023: 93.8%).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Accounts Payable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As of June 30, 2024, the Group had no trade payables (as of December 31, 2023: nil).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231F20"/>
        </w:rPr>
        <w:t>Foreign Exchange Exposure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We earn the majority of our revenues and incur the majority of our expenses in Renminbi, and the majority of our sales contracts are denominated in Renminbi and majority of our costs and expenses are denominated in Renminbi, while a portion of our financial assets are denominated in U.S. dollars. Very limited hedging options are available in China to reduce our exposure to exchange rate fluctuations, and we have not used any forward contracts or currency borrowings to hedge our exposure to foreign currency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 As a result, any significant revaluation of the Renminbi or the U.S. dollar may adversely affect our cash flows, earnings and financial position, and the value of, and any dividends payable on, our Shares and/or ADSs. For example, an appreciation of the Renminbi against the U.S. dollar would make any new RMB-denominated investments or expenditures more costly to us, to the extent that we need to convert U.S. dollars into Renminbi for such purposes. An appreciation of the Renminbi against the U.S. dollar would also result in foreign currency translation losses for financial reporting purposes when we translate our U.S. dollar-denominated financial assets into Renminbi, our reporting currency. Conversely, if we decide to convert Renminbi into U.S. dollars for the purpose of making payments for dividends on our Shares or ADSs, for payment of interest expenses, for strategic acquisitions or investments, or for other business purposes, appreciation of the U.S. dollar against the Renminbi would have a negative effect on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Contingent Liabilities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As of June 30, 2024, we had contingent liabilities of RMB475.8 million in relation to the unsettled Camsing Incident (as defined hereinafter) (as of December 31, 2023: RMB482.8 million). For further details, please refer to Note 8 to the condensed consolidated financial statements in this announcement.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Save as disclosed above, no material contingent liabilities, guarantees or any litigation against us, in the opinion of our Directors, are likely to have a material and adverse effect on our business, financial condition or results of operations as of June 30,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Capital Expenditures and Capital Commitment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Our capital expenditures primarily consist of purchases of property and equipment, and renovation and upgrade of our newly purchased office premises. Our capital expenditures were RMB34.7 million for the six months ended June 30, 2024 (for the six months ended June 30, 2023: RMB157.6 million). Such decrease was primarily due to most of our renovation and upgrade of our headquarter were completed in 2023. As of June 30, 2024, we did not have any commitment for capital expenditures or other cash requirements outside of our ordinary course of business (as of December 31, 2023: nil).</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231F20"/>
        </w:rPr>
        <w:t>Loans and Borrowings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Group had no outstanding loans, overdrafts or borrowings from banks or any other financial institutions as of June 30, 2024 (as of December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nil).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Employees and Remuneration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As of June 30, 2024, the Company had a total of 2,222 employees. The following table sets out the breakdown of our full-time employees by function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June 30,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231F20"/>
              </w:rPr>
              <w:t>Number of</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Function</w:t>
            </w: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231F20"/>
              </w:rPr>
              <w:t>Employees</w:t>
            </w: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 of Total</w:t>
            </w:r>
          </w:p>
        </w:tc>
      </w:tr>
      <w:tr>
        <w:trPr>
          <w:trHeight w:val="210"/>
        </w:trPr>
        <w:tc>
          <w:tcPr>
            <w:tcW w:w="8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231F20"/>
              </w:rPr>
              <w:t>Mainland China</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Public securities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Insurance</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156</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7.0</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Private equity</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31F20"/>
              </w:rPr>
              <w:t>240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10.8</w:t>
            </w: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Others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22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231F20"/>
              </w:rPr>
              <w:t>Oversea</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Wealth management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Asset management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48</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2.2</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Online business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31F20"/>
              </w:rPr>
              <w:t>57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2.6</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231F20"/>
              </w:rPr>
              <w:t>Headquarter</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Business development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Middle and back office support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31F20"/>
              </w:rPr>
              <w:t>467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21.0</w:t>
            </w:r>
          </w:p>
        </w:tc>
      </w:tr>
      <w:tr>
        <w:trPr>
          <w:trHeight w:val="250"/>
        </w:trPr>
        <w:tc>
          <w:tcPr>
            <w:tcW w:w="83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2,222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Pr>
          <w:p>
            <w:pPr>
              <w:spacing w:after="0"/>
              <w:rPr>
                <w:sz w:val="18"/>
                <w:szCs w:val="18"/>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We believe we offer our employees competitive compensation packages and a dynamic work environment that encourages initiative and is based on merit.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As a result, we have generally been able to attract and retain qualified personnel and maintain a stable core management team.</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The remuneration package of our employees includes salaries and commissions for our relationship managers, salaries and bonuses for investment professionals and other employees, share-based compensation expenses for our employees and Directors, and bonuses related to performance-based income.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As required by regulations in China, we participate in various employee social security plans that are organized by municipal and provincial governments, including endowment insurance, unemployment insurance, maternity insurance, employment injury insurance, medical insurance and housing provident fund. We enter into standard labor, confidentiality and non-compete agreements with our employees. The non-compete restricted period typically expires two years after the termination of employment, and we agree to compensate the employee with a certain percentage of his or her pre-departure salary during the restricted period.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We believe that we maintain a good working relationship with our employees and we have not experienced any significant labor disputes during the Reporting Period.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both"/>
        <w:spacing w:after="0" w:line="261" w:lineRule="auto"/>
        <w:rPr>
          <w:sz w:val="20"/>
          <w:szCs w:val="20"/>
          <w:color w:val="auto"/>
        </w:rPr>
      </w:pPr>
      <w:r>
        <w:rPr>
          <w:rFonts w:ascii="Times New Roman" w:cs="Times New Roman" w:eastAsia="Times New Roman" w:hAnsi="Times New Roman"/>
          <w:sz w:val="18"/>
          <w:szCs w:val="18"/>
          <w:color w:val="231F20"/>
        </w:rPr>
        <w:t>We have been continuously investing in training and education programs for employees. We provide formal and comprehensive company-level and department-level training to our new employees, followed by on-the-job training. We also provide training and development programs to our employees from time to time to ensure their awareness and compliance with our various policies and procedures. Some of the training is conducted jointly by departments serving different functions but working with or supporting each other in our day-to-day operations.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Company also has adopted the 2022 Share Incentive Plan. Further details in respect of the 2022 Share Incentive Plan are set out in the Company’s circular dated November 14,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Compliance with the Corporate Governance Code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Board is committed to achieving high corporate governance standards. The Board believes that high corporate governance standards are essential in providing a framework for the Company to safeguard the interests of Shareholders and to enhance corporate value and accountability.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During the Reporting Period, we have complied with all the code provisions of the Corporate Governance Code. The Board will review the corporate governance structure and practices from time to time and shall make necessary arrangements when the Board considers appropriate.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Compliance with the Model Code for Securities Transactions by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The Company has adopted the Management Control Measures on Material Non-Public Information and Policy on Prohibition of Insider Dealing of the Company (the “</w:t>
      </w:r>
      <w:r>
        <w:rPr>
          <w:rFonts w:ascii="Times New Roman" w:cs="Times New Roman" w:eastAsia="Times New Roman" w:hAnsi="Times New Roman"/>
          <w:sz w:val="18"/>
          <w:szCs w:val="18"/>
          <w:b w:val="1"/>
          <w:bCs w:val="1"/>
          <w:color w:val="231F20"/>
        </w:rPr>
        <w:t>Code</w:t>
      </w:r>
      <w:r>
        <w:rPr>
          <w:rFonts w:ascii="Times New Roman" w:cs="Times New Roman" w:eastAsia="Times New Roman" w:hAnsi="Times New Roman"/>
          <w:sz w:val="18"/>
          <w:szCs w:val="18"/>
          <w:color w:val="231F20"/>
        </w:rPr>
        <w:t>”), with terms no less exacting than the Model Code, as its own securities dealing code to regulate all dealings by Directors and relevant employees of securities in the Company and other matters covered by the Code.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Specific enquiry has been made of all the Directors and the relevant employees and they have confirmed that they have complied with the Model Code and the Code during the Reporting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Purchase, Sale or Redemption of the Company’s Listed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Neither the Company nor any of its subsidiaries purchased, sold, or redeemed any of the Company’s securities listed on the Hong Kong Stock Exchange or any other stock exchanges (including sale of treasury shares (as defined in the Hong Kong Listing Rules)) during the Reporting Period. As of June 30, 2024, the Company did not hold any treasury shares.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231F20"/>
        </w:rPr>
        <w:t>Use of Proceeds from the Global Offering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The net proceeds received by the Company from the Global Offering (as defined in the Prospectus) were approximately HK$315.6 million. There has been no change in the intended use of net proceeds as previously disclosed in the Prospectus and the Company has utilized certain net proceeds and expects to fully utilize the residual amount of the net proceeds in accordance with such intended purposes as disclosed in the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As of June 30, 2024, the Group had utilized the net proceeds as set out in the table below:</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6287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23" w:lineRule="exact"/>
        <w:rPr>
          <w:sz w:val="20"/>
          <w:szCs w:val="20"/>
          <w:color w:val="auto"/>
        </w:rPr>
      </w:pPr>
    </w:p>
    <w:p>
      <w:pPr>
        <w:ind w:left="180" w:hanging="161"/>
        <w:spacing w:after="0" w:line="276" w:lineRule="auto"/>
        <w:rPr>
          <w:sz w:val="20"/>
          <w:szCs w:val="20"/>
          <w:color w:val="auto"/>
        </w:rPr>
      </w:pPr>
      <w:r>
        <w:rPr>
          <w:rFonts w:ascii="Times New Roman" w:cs="Times New Roman" w:eastAsia="Times New Roman" w:hAnsi="Times New Roman"/>
          <w:sz w:val="17"/>
          <w:szCs w:val="17"/>
          <w:color w:val="231F20"/>
        </w:rPr>
        <w:t>Fund the further development of our wealth management business</w:t>
      </w:r>
    </w:p>
    <w:p>
      <w:pPr>
        <w:spacing w:after="0" w:line="1" w:lineRule="exact"/>
        <w:rPr>
          <w:sz w:val="20"/>
          <w:szCs w:val="20"/>
          <w:color w:val="auto"/>
        </w:rPr>
      </w:pPr>
    </w:p>
    <w:p>
      <w:pPr>
        <w:ind w:left="180" w:right="140" w:hanging="161"/>
        <w:spacing w:after="0" w:line="265" w:lineRule="auto"/>
        <w:rPr>
          <w:sz w:val="20"/>
          <w:szCs w:val="20"/>
          <w:color w:val="auto"/>
        </w:rPr>
      </w:pPr>
      <w:r>
        <w:rPr>
          <w:rFonts w:ascii="Times New Roman" w:cs="Times New Roman" w:eastAsia="Times New Roman" w:hAnsi="Times New Roman"/>
          <w:sz w:val="17"/>
          <w:szCs w:val="17"/>
          <w:color w:val="auto"/>
        </w:rPr>
        <w:t>Fund the further development our asset management business</w:t>
      </w:r>
    </w:p>
    <w:p>
      <w:pPr>
        <w:ind w:left="180" w:right="500" w:hanging="161"/>
        <w:spacing w:after="0" w:line="260" w:lineRule="auto"/>
        <w:rPr>
          <w:sz w:val="20"/>
          <w:szCs w:val="20"/>
          <w:color w:val="auto"/>
        </w:rPr>
      </w:pPr>
      <w:r>
        <w:rPr>
          <w:rFonts w:ascii="Times New Roman" w:cs="Times New Roman" w:eastAsia="Times New Roman" w:hAnsi="Times New Roman"/>
          <w:sz w:val="18"/>
          <w:szCs w:val="18"/>
          <w:color w:val="auto"/>
        </w:rPr>
        <w:t>Fund the selective pursuit of potential investments</w:t>
      </w:r>
    </w:p>
    <w:p>
      <w:pPr>
        <w:spacing w:after="0" w:line="6" w:lineRule="exact"/>
        <w:rPr>
          <w:sz w:val="20"/>
          <w:szCs w:val="20"/>
          <w:color w:val="auto"/>
        </w:rPr>
      </w:pPr>
    </w:p>
    <w:p>
      <w:pPr>
        <w:jc w:val="both"/>
        <w:ind w:left="180" w:right="360" w:hanging="161"/>
        <w:spacing w:after="0" w:line="257" w:lineRule="auto"/>
        <w:rPr>
          <w:sz w:val="20"/>
          <w:szCs w:val="20"/>
          <w:color w:val="auto"/>
        </w:rPr>
      </w:pPr>
      <w:r>
        <w:rPr>
          <w:rFonts w:ascii="Times New Roman" w:cs="Times New Roman" w:eastAsia="Times New Roman" w:hAnsi="Times New Roman"/>
          <w:sz w:val="18"/>
          <w:szCs w:val="18"/>
          <w:color w:val="231F20"/>
        </w:rPr>
        <w:t>Fund the investment in our in-house technology across all business lines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Fund our overseas expansion</w:t>
      </w:r>
    </w:p>
    <w:p>
      <w:pPr>
        <w:spacing w:after="0" w:line="207" w:lineRule="exact"/>
        <w:rPr>
          <w:sz w:val="20"/>
          <w:szCs w:val="20"/>
          <w:color w:val="auto"/>
        </w:rPr>
      </w:pPr>
    </w:p>
    <w:p>
      <w:pPr>
        <w:ind w:left="180" w:right="240" w:hanging="161"/>
        <w:spacing w:after="0" w:line="261" w:lineRule="auto"/>
        <w:rPr>
          <w:sz w:val="20"/>
          <w:szCs w:val="20"/>
          <w:color w:val="auto"/>
        </w:rPr>
      </w:pPr>
      <w:r>
        <w:rPr>
          <w:rFonts w:ascii="Times New Roman" w:cs="Times New Roman" w:eastAsia="Times New Roman" w:hAnsi="Times New Roman"/>
          <w:sz w:val="18"/>
          <w:szCs w:val="18"/>
          <w:color w:val="auto"/>
        </w:rPr>
        <w:t>General corporate purposes (including but not limited to working capital and operating expenses)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231F20"/>
                <w:w w:val="99"/>
              </w:rPr>
              <w:t>Utilized</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231F20"/>
                <w:w w:val="99"/>
              </w:rPr>
              <w:t>Utilized</w:t>
            </w: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231F20"/>
                <w:w w:val="99"/>
              </w:rPr>
              <w:t>amount for the</w:t>
            </w: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231F20"/>
                <w:w w:val="99"/>
              </w:rPr>
              <w:t>Utilized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Unutilized</w:t>
            </w:r>
          </w:p>
        </w:tc>
        <w:tc>
          <w:tcPr>
            <w:tcW w:w="1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Expected</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231F20"/>
              </w:rPr>
              <w:t>amount as of</w:t>
            </w: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231F20"/>
                <w:w w:val="99"/>
              </w:rPr>
              <w:t>six months</w:t>
            </w: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231F20"/>
              </w:rPr>
              <w:t>amount as of</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amount as of</w:t>
            </w:r>
          </w:p>
        </w:tc>
        <w:tc>
          <w:tcPr>
            <w:tcW w:w="1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time frame</w:t>
            </w:r>
          </w:p>
        </w:tc>
        <w:tc>
          <w:tcPr>
            <w:tcW w:w="0" w:type="dxa"/>
            <w:vAlign w:val="bottom"/>
          </w:tcPr>
          <w:p>
            <w:pPr>
              <w:spacing w:after="0"/>
              <w:rPr>
                <w:sz w:val="1"/>
                <w:szCs w:val="1"/>
                <w:color w:val="auto"/>
              </w:rPr>
            </w:pPr>
          </w:p>
        </w:tc>
      </w:tr>
      <w:tr>
        <w:trPr>
          <w:trHeight w:val="230"/>
        </w:trPr>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231F20"/>
              </w:rPr>
              <w:t>% of use</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231F20"/>
                <w:w w:val="99"/>
              </w:rPr>
              <w:t>January 1,</w:t>
            </w: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231F20"/>
                <w:w w:val="99"/>
              </w:rPr>
              <w:t>ended June 30,</w:t>
            </w: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231F20"/>
                <w:w w:val="99"/>
              </w:rPr>
              <w:t>June 30,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June 30,</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w w:val="99"/>
              </w:rPr>
              <w:t>for unutilized</w:t>
            </w:r>
          </w:p>
        </w:tc>
        <w:tc>
          <w:tcPr>
            <w:tcW w:w="0" w:type="dxa"/>
            <w:vAlign w:val="bottom"/>
          </w:tcPr>
          <w:p>
            <w:pPr>
              <w:spacing w:after="0"/>
              <w:rPr>
                <w:sz w:val="1"/>
                <w:szCs w:val="1"/>
                <w:color w:val="auto"/>
              </w:rPr>
            </w:pPr>
          </w:p>
        </w:tc>
      </w:tr>
      <w:tr>
        <w:trPr>
          <w:trHeight w:val="238"/>
        </w:trPr>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231F20"/>
                <w:w w:val="95"/>
              </w:rPr>
              <w:t>of proceeds</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231F20"/>
              </w:rPr>
              <w:t>Net proceeds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2024</w:t>
            </w:r>
          </w:p>
        </w:tc>
        <w:tc>
          <w:tcPr>
            <w:tcW w:w="16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2024</w:t>
            </w:r>
          </w:p>
        </w:tc>
        <w:tc>
          <w:tcPr>
            <w:tcW w:w="1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2024</w:t>
            </w:r>
          </w:p>
        </w:tc>
        <w:tc>
          <w:tcPr>
            <w:tcW w:w="1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2024</w:t>
            </w:r>
          </w:p>
        </w:tc>
        <w:tc>
          <w:tcPr>
            <w:tcW w:w="14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amount</w:t>
            </w:r>
          </w:p>
        </w:tc>
        <w:tc>
          <w:tcPr>
            <w:tcW w:w="0" w:type="dxa"/>
            <w:vAlign w:val="bottom"/>
          </w:tcPr>
          <w:p>
            <w:pPr>
              <w:spacing w:after="0"/>
              <w:rPr>
                <w:sz w:val="1"/>
                <w:szCs w:val="1"/>
                <w:color w:val="auto"/>
              </w:rPr>
            </w:pPr>
          </w:p>
        </w:tc>
      </w:tr>
      <w:tr>
        <w:trPr>
          <w:trHeight w:val="230"/>
        </w:trPr>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231F20"/>
              </w:rPr>
              <w:t>(HK$ million)</w:t>
            </w:r>
          </w:p>
        </w:tc>
        <w:tc>
          <w:tcPr>
            <w:tcW w:w="16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231F20"/>
              </w:rPr>
              <w:t>(HK$ million)</w:t>
            </w:r>
          </w:p>
        </w:tc>
        <w:tc>
          <w:tcPr>
            <w:tcW w:w="160" w:type="dxa"/>
            <w:vAlign w:val="bottom"/>
          </w:tcPr>
          <w:p>
            <w:pPr>
              <w:spacing w:after="0"/>
              <w:rPr>
                <w:sz w:val="19"/>
                <w:szCs w:val="19"/>
                <w:color w:val="auto"/>
              </w:rPr>
            </w:pPr>
          </w:p>
        </w:tc>
        <w:tc>
          <w:tcPr>
            <w:tcW w:w="11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i w:val="1"/>
                <w:iCs w:val="1"/>
                <w:color w:val="231F20"/>
                <w:w w:val="98"/>
              </w:rPr>
              <w:t>(HK$ million)</w:t>
            </w:r>
          </w:p>
        </w:tc>
        <w:tc>
          <w:tcPr>
            <w:tcW w:w="16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231F20"/>
              </w:rPr>
              <w:t>(HK$ million)</w:t>
            </w:r>
          </w:p>
        </w:tc>
        <w:tc>
          <w:tcPr>
            <w:tcW w:w="16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231F20"/>
              </w:rPr>
              <w:t>(HK$ million)</w:t>
            </w:r>
          </w:p>
        </w:tc>
        <w:tc>
          <w:tcPr>
            <w:tcW w:w="140" w:type="dxa"/>
            <w:vAlign w:val="bottom"/>
          </w:tcPr>
          <w:p>
            <w:pPr>
              <w:spacing w:after="0"/>
              <w:rPr>
                <w:sz w:val="19"/>
                <w:szCs w:val="19"/>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by the end of</w:t>
            </w:r>
          </w:p>
        </w:tc>
        <w:tc>
          <w:tcPr>
            <w:tcW w:w="0" w:type="dxa"/>
            <w:vAlign w:val="bottom"/>
          </w:tcPr>
          <w:p>
            <w:pPr>
              <w:spacing w:after="0"/>
              <w:rPr>
                <w:sz w:val="1"/>
                <w:szCs w:val="1"/>
                <w:color w:val="auto"/>
              </w:rPr>
            </w:pPr>
          </w:p>
        </w:tc>
      </w:tr>
      <w:tr>
        <w:trPr>
          <w:trHeight w:val="177"/>
        </w:trPr>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110.5</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40.9</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24.3</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414"/>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47.3</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47.3</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by the end of</w:t>
            </w:r>
          </w:p>
        </w:tc>
        <w:tc>
          <w:tcPr>
            <w:tcW w:w="0" w:type="dxa"/>
            <w:vAlign w:val="bottom"/>
          </w:tcPr>
          <w:p>
            <w:pPr>
              <w:spacing w:after="0"/>
              <w:rPr>
                <w:sz w:val="1"/>
                <w:szCs w:val="1"/>
                <w:color w:val="auto"/>
              </w:rPr>
            </w:pPr>
          </w:p>
        </w:tc>
      </w:tr>
      <w:tr>
        <w:trPr>
          <w:trHeight w:val="394"/>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63.1</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2025</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91"/>
        </w:trPr>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by the end of</w:t>
            </w:r>
          </w:p>
        </w:tc>
        <w:tc>
          <w:tcPr>
            <w:tcW w:w="0" w:type="dxa"/>
            <w:vAlign w:val="bottom"/>
          </w:tcPr>
          <w:p>
            <w:pPr>
              <w:spacing w:after="0"/>
              <w:rPr>
                <w:sz w:val="1"/>
                <w:szCs w:val="1"/>
                <w:color w:val="auto"/>
              </w:rPr>
            </w:pPr>
          </w:p>
        </w:tc>
      </w:tr>
      <w:tr>
        <w:trPr>
          <w:trHeight w:val="216"/>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10%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31F20"/>
              </w:rPr>
              <w:t>31.6</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31F20"/>
              </w:rPr>
              <w:t>6.4</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31F20"/>
              </w:rPr>
              <w:t>15.2</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31F20"/>
              </w:rPr>
              <w:t>21.6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2024</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by the end of</w:t>
            </w:r>
          </w:p>
        </w:tc>
        <w:tc>
          <w:tcPr>
            <w:tcW w:w="0" w:type="dxa"/>
            <w:vAlign w:val="bottom"/>
          </w:tcPr>
          <w:p>
            <w:pPr>
              <w:spacing w:after="0"/>
              <w:rPr>
                <w:sz w:val="1"/>
                <w:szCs w:val="1"/>
                <w:color w:val="auto"/>
              </w:rPr>
            </w:pPr>
          </w:p>
        </w:tc>
      </w:tr>
      <w:tr>
        <w:trPr>
          <w:trHeight w:val="234"/>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10%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31F20"/>
              </w:rPr>
              <w:t>31.6</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31F20"/>
              </w:rPr>
              <w:t>14.2</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31F20"/>
              </w:rPr>
              <w:t>12.1</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31F20"/>
              </w:rPr>
              <w:t>26.3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2024</w:t>
            </w:r>
          </w:p>
        </w:tc>
        <w:tc>
          <w:tcPr>
            <w:tcW w:w="0" w:type="dxa"/>
            <w:vAlign w:val="bottom"/>
          </w:tcPr>
          <w:p>
            <w:pPr>
              <w:spacing w:after="0"/>
              <w:rPr>
                <w:sz w:val="1"/>
                <w:szCs w:val="1"/>
                <w:color w:val="auto"/>
              </w:rPr>
            </w:pPr>
          </w:p>
        </w:tc>
      </w:tr>
      <w:tr>
        <w:trPr>
          <w:trHeight w:val="630"/>
        </w:trPr>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by the end of</w:t>
            </w:r>
          </w:p>
        </w:tc>
        <w:tc>
          <w:tcPr>
            <w:tcW w:w="0" w:type="dxa"/>
            <w:vAlign w:val="bottom"/>
          </w:tcPr>
          <w:p>
            <w:pPr>
              <w:spacing w:after="0"/>
              <w:rPr>
                <w:sz w:val="1"/>
                <w:szCs w:val="1"/>
                <w:color w:val="auto"/>
              </w:rPr>
            </w:pPr>
          </w:p>
        </w:tc>
      </w:tr>
      <w:tr>
        <w:trPr>
          <w:trHeight w:val="248"/>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31.6</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-2099945</wp:posOffset>
            </wp:positionV>
            <wp:extent cx="7132320" cy="274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-1550670</wp:posOffset>
            </wp:positionV>
            <wp:extent cx="7132320" cy="3003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-839470</wp:posOffset>
            </wp:positionV>
            <wp:extent cx="7132320" cy="274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-7620</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60" w:space="100"/>
            <w:col w:w="8580"/>
          </w:cols>
          <w:pgMar w:left="320" w:top="900" w:right="3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Notes: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left="2395"/>
        <w:spacing w:after="0"/>
        <w:tabs>
          <w:tab w:leader="none" w:pos="3595" w:val="left"/>
          <w:tab w:leader="none" w:pos="4875" w:val="left"/>
          <w:tab w:leader="none" w:pos="6315" w:val="left"/>
          <w:tab w:leader="none" w:pos="7495" w:val="left"/>
          <w:tab w:leader="none" w:pos="8755" w:val="left"/>
        </w:tabs>
        <w:rPr>
          <w:sz w:val="20"/>
          <w:szCs w:val="20"/>
          <w:color w:val="auto"/>
        </w:rPr>
      </w:pPr>
      <w:r>
        <w:rPr>
          <w:rFonts w:ascii="Times New Roman" w:cs="Times New Roman" w:eastAsia="Times New Roman" w:hAnsi="Times New Roman"/>
          <w:sz w:val="18"/>
          <w:szCs w:val="18"/>
          <w:color w:val="auto"/>
        </w:rPr>
        <w:t>100%</w:t>
      </w:r>
      <w:r>
        <w:rPr>
          <w:sz w:val="20"/>
          <w:szCs w:val="20"/>
          <w:color w:val="auto"/>
        </w:rPr>
        <w:tab/>
      </w:r>
      <w:r>
        <w:rPr>
          <w:rFonts w:ascii="Times New Roman" w:cs="Times New Roman" w:eastAsia="Times New Roman" w:hAnsi="Times New Roman"/>
          <w:sz w:val="18"/>
          <w:szCs w:val="18"/>
          <w:color w:val="auto"/>
        </w:rPr>
        <w:t>315.6</w:t>
      </w:r>
      <w:r>
        <w:rPr>
          <w:sz w:val="20"/>
          <w:szCs w:val="20"/>
          <w:color w:val="auto"/>
        </w:rPr>
        <w:tab/>
      </w:r>
      <w:r>
        <w:rPr>
          <w:rFonts w:ascii="Times New Roman" w:cs="Times New Roman" w:eastAsia="Times New Roman" w:hAnsi="Times New Roman"/>
          <w:sz w:val="18"/>
          <w:szCs w:val="18"/>
          <w:color w:val="auto"/>
        </w:rPr>
        <w:t>118.5</w:t>
      </w:r>
      <w:r>
        <w:rPr>
          <w:sz w:val="20"/>
          <w:szCs w:val="20"/>
          <w:color w:val="auto"/>
        </w:rPr>
        <w:tab/>
      </w:r>
      <w:r>
        <w:rPr>
          <w:rFonts w:ascii="Times New Roman" w:cs="Times New Roman" w:eastAsia="Times New Roman" w:hAnsi="Times New Roman"/>
          <w:sz w:val="18"/>
          <w:szCs w:val="18"/>
          <w:color w:val="auto"/>
        </w:rPr>
        <w:t>60.3</w:t>
      </w:r>
      <w:r>
        <w:rPr>
          <w:sz w:val="20"/>
          <w:szCs w:val="20"/>
          <w:color w:val="auto"/>
        </w:rPr>
        <w:tab/>
      </w:r>
      <w:r>
        <w:rPr>
          <w:rFonts w:ascii="Times New Roman" w:cs="Times New Roman" w:eastAsia="Times New Roman" w:hAnsi="Times New Roman"/>
          <w:sz w:val="18"/>
          <w:szCs w:val="18"/>
          <w:color w:val="auto"/>
        </w:rPr>
        <w:t>178.8</w:t>
      </w:r>
      <w:r>
        <w:rPr>
          <w:sz w:val="20"/>
          <w:szCs w:val="20"/>
          <w:color w:val="auto"/>
        </w:rPr>
        <w:tab/>
      </w:r>
      <w:r>
        <w:rPr>
          <w:rFonts w:ascii="Times New Roman" w:cs="Times New Roman" w:eastAsia="Times New Roman" w:hAnsi="Times New Roman"/>
          <w:sz w:val="17"/>
          <w:szCs w:val="17"/>
          <w:color w:val="auto"/>
        </w:rPr>
        <w:t>136.9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1148715</wp:posOffset>
            </wp:positionH>
            <wp:positionV relativeFrom="paragraph">
              <wp:posOffset>34290</wp:posOffset>
            </wp:positionV>
            <wp:extent cx="468058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680585" cy="25400"/>
                    </a:xfrm>
                    <a:prstGeom prst="rect">
                      <a:avLst/>
                    </a:prstGeom>
                    <a:noFill/>
                  </pic:spPr>
                </pic:pic>
              </a:graphicData>
            </a:graphic>
          </wp:anchor>
        </w:drawing>
      </w:r>
    </w:p>
    <w:p>
      <w:pPr>
        <w:spacing w:after="0" w:line="273" w:lineRule="exact"/>
        <w:rPr>
          <w:sz w:val="20"/>
          <w:szCs w:val="20"/>
          <w:color w:val="auto"/>
        </w:rPr>
      </w:pPr>
    </w:p>
    <w:p>
      <w:pPr>
        <w:jc w:val="both"/>
        <w:ind w:left="315" w:hanging="315"/>
        <w:spacing w:after="0" w:line="261" w:lineRule="auto"/>
        <w:tabs>
          <w:tab w:leader="none" w:pos="315"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As of the date of this announcement, there has been a delay in the expected timeline for certain uses of proceeds compared to the implementation plan as disclosed in our annual report for the year ended December 31, 2023. Such delay in use of proceeds is not material and mainly shown above as the delay in the expected time frame to fully use the portion of the net proceeds to fund the selective pursuit of potential investments as the Company considered it took longer time than expected to identify suitable investment targets.</w:t>
      </w:r>
    </w:p>
    <w:p>
      <w:pPr>
        <w:spacing w:after="0" w:line="179" w:lineRule="exact"/>
        <w:rPr>
          <w:rFonts w:ascii="Times New Roman" w:cs="Times New Roman" w:eastAsia="Times New Roman" w:hAnsi="Times New Roman"/>
          <w:sz w:val="18"/>
          <w:szCs w:val="18"/>
          <w:color w:val="231F20"/>
        </w:rPr>
      </w:pPr>
    </w:p>
    <w:p>
      <w:pPr>
        <w:ind w:left="315" w:hanging="315"/>
        <w:spacing w:after="0"/>
        <w:tabs>
          <w:tab w:leader="none" w:pos="315"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sum of the data may not add up to the total due to rounding.</w:t>
      </w:r>
    </w:p>
    <w:p>
      <w:pPr>
        <w:spacing w:after="0" w:line="200" w:lineRule="exact"/>
        <w:rPr>
          <w:sz w:val="20"/>
          <w:szCs w:val="20"/>
          <w:color w:val="auto"/>
        </w:rPr>
      </w:pPr>
    </w:p>
    <w:p>
      <w:pPr>
        <w:sectPr>
          <w:pgSz w:w="11900" w:h="16838" w:orient="portrait"/>
          <w:cols w:equalWidth="0" w:num="2">
            <w:col w:w="480" w:space="365"/>
            <w:col w:w="10395"/>
          </w:cols>
          <w:pgMar w:left="320" w:top="90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As of June 30, 2024, all the unutilized net proceeds are held by the Company in short-term deposits with licensed banks or authorized financial institutions.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231F20"/>
        </w:rPr>
        <w:t>Material Litigation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As of June 30, 2024, 44 investors’ legal proceedings against Shanghai Gopher and/or its affiliates in connection with the Camsing Incident with an aggregate claim amount over RMB149.0 million were still pending. As of the date of this announcement, the management of the Group has assessed, based on the Group’s PRC legal adviser’s advice, the Group was unable to reasonably predict the timing or outcomes of, or estimate the amount of loss, or range of loss, if any, related to the pending legal proceedings. For further details, please refer to Note 8 to the condensed consolidated financial statements in this announcement.</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231F20"/>
        </w:rPr>
        <w:t>In December 2022, the Group received a civil judgment from the Bozhou Intermediate People’s Court of Anhui Province (the “</w:t>
      </w:r>
      <w:r>
        <w:rPr>
          <w:rFonts w:ascii="Times New Roman" w:cs="Times New Roman" w:eastAsia="Times New Roman" w:hAnsi="Times New Roman"/>
          <w:sz w:val="18"/>
          <w:szCs w:val="18"/>
          <w:b w:val="1"/>
          <w:bCs w:val="1"/>
          <w:color w:val="231F20"/>
        </w:rPr>
        <w:t>First Instance Court</w:t>
      </w:r>
      <w:r>
        <w:rPr>
          <w:rFonts w:ascii="Times New Roman" w:cs="Times New Roman" w:eastAsia="Times New Roman" w:hAnsi="Times New Roman"/>
          <w:sz w:val="18"/>
          <w:szCs w:val="18"/>
          <w:color w:val="231F20"/>
        </w:rPr>
        <w:t>”). The judgment was related to a civil lawsuit brought by an external institution (the “</w:t>
      </w:r>
      <w:r>
        <w:rPr>
          <w:rFonts w:ascii="Times New Roman" w:cs="Times New Roman" w:eastAsia="Times New Roman" w:hAnsi="Times New Roman"/>
          <w:sz w:val="18"/>
          <w:szCs w:val="18"/>
          <w:b w:val="1"/>
          <w:bCs w:val="1"/>
          <w:color w:val="231F20"/>
        </w:rPr>
        <w:t>Plaintiff</w:t>
      </w:r>
      <w:r>
        <w:rPr>
          <w:rFonts w:ascii="Times New Roman" w:cs="Times New Roman" w:eastAsia="Times New Roman" w:hAnsi="Times New Roman"/>
          <w:sz w:val="18"/>
          <w:szCs w:val="18"/>
          <w:color w:val="231F20"/>
        </w:rPr>
        <w:t>”) against Noah (Shanghai) Financial Leasing Co., Ltd. (the “</w:t>
      </w:r>
      <w:r>
        <w:rPr>
          <w:rFonts w:ascii="Times New Roman" w:cs="Times New Roman" w:eastAsia="Times New Roman" w:hAnsi="Times New Roman"/>
          <w:sz w:val="18"/>
          <w:szCs w:val="18"/>
          <w:b w:val="1"/>
          <w:bCs w:val="1"/>
          <w:color w:val="231F20"/>
        </w:rPr>
        <w:t>Defendant</w:t>
      </w:r>
      <w:r>
        <w:rPr>
          <w:rFonts w:ascii="Times New Roman" w:cs="Times New Roman" w:eastAsia="Times New Roman" w:hAnsi="Times New Roman"/>
          <w:sz w:val="18"/>
          <w:szCs w:val="18"/>
          <w:color w:val="231F20"/>
        </w:rPr>
        <w:t>”), a subsidiary of the Company. The First Instance Court awarded the Plaintiff monetary damages of RMB99.0 million and corresponding interests (the “</w:t>
      </w:r>
      <w:r>
        <w:rPr>
          <w:rFonts w:ascii="Times New Roman" w:cs="Times New Roman" w:eastAsia="Times New Roman" w:hAnsi="Times New Roman"/>
          <w:sz w:val="18"/>
          <w:szCs w:val="18"/>
          <w:b w:val="1"/>
          <w:bCs w:val="1"/>
          <w:color w:val="231F20"/>
        </w:rPr>
        <w:t>First-instance Ruling</w:t>
      </w:r>
      <w:r>
        <w:rPr>
          <w:rFonts w:ascii="Times New Roman" w:cs="Times New Roman" w:eastAsia="Times New Roman" w:hAnsi="Times New Roman"/>
          <w:sz w:val="18"/>
          <w:szCs w:val="18"/>
          <w:color w:val="231F20"/>
        </w:rPr>
        <w:t>”) in the judgment. For further details, please refer to the Company’s announcement dated December 12, 2022.</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In late March 2024, the Group received a judgment on appeal (the “</w:t>
      </w:r>
      <w:r>
        <w:rPr>
          <w:rFonts w:ascii="Times New Roman" w:cs="Times New Roman" w:eastAsia="Times New Roman" w:hAnsi="Times New Roman"/>
          <w:sz w:val="18"/>
          <w:szCs w:val="18"/>
          <w:b w:val="1"/>
          <w:bCs w:val="1"/>
          <w:color w:val="231F20"/>
        </w:rPr>
        <w:t>Appellate Judgment</w:t>
      </w:r>
      <w:r>
        <w:rPr>
          <w:rFonts w:ascii="Times New Roman" w:cs="Times New Roman" w:eastAsia="Times New Roman" w:hAnsi="Times New Roman"/>
          <w:sz w:val="18"/>
          <w:szCs w:val="18"/>
          <w:color w:val="231F20"/>
        </w:rPr>
        <w:t>”) from the High People’s Court of Anhui Province, affirming the First-instance Ruling. The Appellate Judgment took immediate effect, pursuant to which the Defendant shall make a payment to the Plaintiff within ten days from the date the Appellate Judgment became effective. As the Group had previously reserved a contingent liability of RMB99.0 million in accordance with the First-instance Ruling prior to the issuance of the Appellate Judgment, the ruling in the Appellate Judgment is not expected to materially affect the Group’s overall financial position in comparison to its financial position prior to the issuance of the Appellate Judgment. Based on advice from the Company’s PRC counsel to this civil lawsuit, the Company held the same view as before that the claim of the Plaintiff is without merit and is unfounded. The Company has applied for a retrial to the Supreme People’s Court of the PRC with respect to the ruling in the Appellate Judgment and vigorously defended against the civil claim from the Plaintiff. As of the date of this announcement, the Company is awaiting a ruling for the retrial from the Supreme People’s Court of the PRC.</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Save as disclosed above, we were not a party to, and we were not aware of any judicial, arbitration or administrative proceedings that were pending or threatened against our Group during the six months ended June 30, 2024, that, in the opinion of our Directors, were likely to have a material and adverse effect on our business, financial condition or results of operations. We may from time to time be involved in litigation and claims incidental to the conduct of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Settlement under the Settlement Plan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 xml:space="preserve">Reference is made to the Company’s announcement dated May 24, 2024 in relation to the settlement plan for the Camsing Incident. While the Company believes it has solid legal grounds to defend any legal claims from the affected clients in the Camsing Incident, as a gesture of goodwill and to avoid distractions to its management and to minimize potential legal costs, the Company voluntarily offered an </w:t>
      </w:r>
      <w:r>
        <w:rPr>
          <w:rFonts w:ascii="Times New Roman" w:cs="Times New Roman" w:eastAsia="Times New Roman" w:hAnsi="Times New Roman"/>
          <w:sz w:val="18"/>
          <w:szCs w:val="18"/>
          <w:i w:val="1"/>
          <w:iCs w:val="1"/>
          <w:color w:val="231F20"/>
        </w:rPr>
        <w:t>ex gratia</w:t>
      </w:r>
      <w:r>
        <w:rPr>
          <w:rFonts w:ascii="Times New Roman" w:cs="Times New Roman" w:eastAsia="Times New Roman" w:hAnsi="Times New Roman"/>
          <w:sz w:val="18"/>
          <w:szCs w:val="18"/>
          <w:color w:val="231F20"/>
        </w:rPr>
        <w:t xml:space="preserve"> settlement (the “</w:t>
      </w:r>
      <w:r>
        <w:rPr>
          <w:rFonts w:ascii="Times New Roman" w:cs="Times New Roman" w:eastAsia="Times New Roman" w:hAnsi="Times New Roman"/>
          <w:sz w:val="18"/>
          <w:szCs w:val="18"/>
          <w:b w:val="1"/>
          <w:bCs w:val="1"/>
          <w:color w:val="231F20"/>
        </w:rPr>
        <w:t>Offer</w:t>
      </w:r>
      <w:r>
        <w:rPr>
          <w:rFonts w:ascii="Times New Roman" w:cs="Times New Roman" w:eastAsia="Times New Roman" w:hAnsi="Times New Roman"/>
          <w:sz w:val="18"/>
          <w:szCs w:val="18"/>
          <w:color w:val="231F20"/>
        </w:rPr>
        <w:t>”) to clients affected by the Camsing Incident, where those who accepted the Offer will receive RSUs convertible into the Shares upon vesting. The Company shall issue relevant Shares upon vesting of RSUs to the remaining clients subject to the settlement pursuant to the issuance mandate granted by the Shareholders at the annual general meeting held on June 12, 2023 and, where applicable, any subsequently renewed or refreshed issuance mandate granted by the Shareholders from time to time.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During the Reporting Period and up to the date of this announcement, six out of the remaining 223 affected clients had accepted the Offer, and the Company granted a total of 45,162 RSUs involving 451,620 Shares (represented by 90,324 ADSs) to these clients, of which 18,065 RSUs involving 180,648 Shares (represented by 36,130 ADSs) have vested.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231F20"/>
        </w:rPr>
        <w:t>Events after the Reporting Period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There were no significant events that might adversely affect the Group after June 30, 2024 and immediately before the date of this announcement.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Interim Dividend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Board does not recommend the distribution of an interim dividend for the six months ended June 30,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Review of the Interim Results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The Audit Committee has reviewed the unaudited interim results of the Group for the six months ended June 30, 2024. In addition, the independent auditor of the Company, Deloitte Touche Tohmatsu, has reviewed our condensed consolidated financial statements for the six months ended June 30, 2024 in accordance with International Standard on Review Engagements 2410 “Review of Interim Financial Information Performed by the Independent Auditor of the Entity.”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PUBLICATION OF THE INTERIM RESULTS ANNOUNCEMENT AND INTERIM REPORT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This interim results announcement is published on the websites of the Hong Kong Stock Exchange (www.hkexnews.hk) and the Company (ir.noahgroup.com). The interim report for the six months ended June 30, 2024 containing all the information required by Appendix D2 of the Hong Kong Listing Rules will be dispatched to the Shareholders and made available for review on the same websites in due course.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231F20"/>
        </w:rPr>
        <w:t>CONDENSED CONSOLIDATED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(Amount 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2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r>
      <w:tr>
        <w:trPr>
          <w:trHeight w:val="187"/>
        </w:trPr>
        <w:tc>
          <w:tcPr>
            <w:tcW w:w="5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Borders>
              <w:top w:val="single" w:sz="8" w:color="auto"/>
            </w:tcBorders>
          </w:tcPr>
          <w:p>
            <w:pPr>
              <w:jc w:val="right"/>
              <w:ind w:right="370"/>
              <w:spacing w:after="0" w:line="188" w:lineRule="exact"/>
              <w:rPr>
                <w:sz w:val="20"/>
                <w:szCs w:val="20"/>
                <w:color w:val="auto"/>
              </w:rPr>
            </w:pPr>
            <w:r>
              <w:rPr>
                <w:rFonts w:ascii="Times New Roman" w:cs="Times New Roman" w:eastAsia="Times New Roman" w:hAnsi="Times New Roman"/>
                <w:sz w:val="18"/>
                <w:szCs w:val="18"/>
                <w:color w:val="auto"/>
              </w:rPr>
              <w:t>2023</w:t>
            </w: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350"/>
              <w:spacing w:after="0" w:line="188" w:lineRule="exact"/>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370"/>
              <w:spacing w:after="0" w:line="188"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6"/>
                <w:szCs w:val="16"/>
                <w:color w:val="auto"/>
              </w:rPr>
            </w:pPr>
          </w:p>
        </w:tc>
      </w:tr>
      <w:tr>
        <w:trPr>
          <w:trHeight w:val="238"/>
        </w:trPr>
        <w:tc>
          <w:tcPr>
            <w:tcW w:w="5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i w:val="1"/>
                <w:iCs w:val="1"/>
                <w:color w:val="auto"/>
                <w:w w:val="99"/>
              </w:rPr>
              <w:t>Notes</w:t>
            </w: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i w:val="1"/>
                <w:iCs w:val="1"/>
                <w:color w:val="auto"/>
              </w:rPr>
              <w:t>RMB</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i w:val="1"/>
                <w:iCs w:val="1"/>
                <w:color w:val="auto"/>
                <w:w w:val="99"/>
              </w:rPr>
              <w:t>RMB</w:t>
            </w: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i w:val="1"/>
                <w:iCs w:val="1"/>
                <w:color w:val="auto"/>
              </w:rPr>
              <w:t>US$</w:t>
            </w:r>
          </w:p>
        </w:tc>
      </w:tr>
      <w:tr>
        <w:trPr>
          <w:trHeight w:val="209"/>
        </w:trPr>
        <w:tc>
          <w:tcPr>
            <w:tcW w:w="5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231F20"/>
              </w:rPr>
              <w:t>(Unaudited)</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rPr>
              <w:t>(Unaudited)</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231F20"/>
              </w:rPr>
              <w:t>(Unaudited)</w:t>
            </w: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Revenues from others</w:t>
            </w: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231F20"/>
              </w:rPr>
              <w:t>One-time commissions</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570,092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313,149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43,091</w:t>
            </w:r>
          </w:p>
        </w:tc>
      </w:tr>
      <w:tr>
        <w:trPr>
          <w:trHeight w:val="216"/>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231F20"/>
              </w:rPr>
              <w:t>Recurring service fees</w:t>
            </w: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31F20"/>
              </w:rPr>
              <w:t>369,063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306,634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42,194</w:t>
            </w:r>
          </w:p>
        </w:tc>
      </w:tr>
      <w:tr>
        <w:trPr>
          <w:trHeight w:val="216"/>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231F20"/>
              </w:rPr>
              <w:t>Performance-based income</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7,758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10,043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1,382</w:t>
            </w:r>
          </w:p>
        </w:tc>
      </w:tr>
      <w:tr>
        <w:trPr>
          <w:trHeight w:val="230"/>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231F20"/>
              </w:rPr>
              <w:t>Other service fees</w:t>
            </w: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31F20"/>
              </w:rPr>
              <w:t>136,980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84,910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11,684</w:t>
            </w:r>
          </w:p>
        </w:tc>
      </w:tr>
      <w:tr>
        <w:trPr>
          <w:trHeight w:val="223"/>
        </w:trPr>
        <w:tc>
          <w:tcPr>
            <w:tcW w:w="516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 from others</w:t>
            </w: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1,083,893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714,736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98,351</w:t>
            </w:r>
          </w:p>
        </w:tc>
      </w:tr>
      <w:tr>
        <w:trPr>
          <w:trHeight w:val="209"/>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funds Gopher manages</w:t>
            </w:r>
          </w:p>
        </w:tc>
        <w:tc>
          <w:tcPr>
            <w:tcW w:w="4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One-time commissions</w:t>
            </w: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11,878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10,956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1,508</w:t>
            </w: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31F20"/>
              </w:rPr>
              <w:t>Recurring service fees</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554,505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516,894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71,127</w:t>
            </w:r>
          </w:p>
        </w:tc>
      </w:tr>
      <w:tr>
        <w:trPr>
          <w:trHeight w:val="230"/>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Performance-based income</w:t>
            </w: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31F20"/>
              </w:rPr>
              <w:t>103,960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32,257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4,439</w:t>
            </w:r>
          </w:p>
        </w:tc>
      </w:tr>
      <w:tr>
        <w:trPr>
          <w:trHeight w:val="209"/>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Total revenues from funds Gopher manages</w:t>
            </w:r>
          </w:p>
        </w:tc>
        <w:tc>
          <w:tcPr>
            <w:tcW w:w="4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670,343</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560,107</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77,074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5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62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i w:val="1"/>
                <w:iCs w:val="1"/>
                <w:color w:val="auto"/>
              </w:rPr>
              <w:t>3</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1,754,236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1,274,843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175,425</w:t>
            </w:r>
          </w:p>
        </w:tc>
      </w:tr>
      <w:tr>
        <w:trPr>
          <w:trHeight w:val="229"/>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Less: VAT related surcharges and other taxes</w:t>
            </w: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31F20"/>
              </w:rPr>
              <w:t>(9,006)</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231F20"/>
              </w:rPr>
              <w:t>(9,454)</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231F20"/>
              </w:rPr>
              <w:t>(1,301)</w:t>
            </w:r>
          </w:p>
        </w:tc>
      </w:tr>
      <w:tr>
        <w:trPr>
          <w:trHeight w:val="210"/>
        </w:trPr>
        <w:tc>
          <w:tcPr>
            <w:tcW w:w="5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1,745,230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1,265,389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174,124</w:t>
            </w: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 and expenses:</w:t>
            </w:r>
          </w:p>
        </w:tc>
        <w:tc>
          <w:tcPr>
            <w:tcW w:w="4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Compensation and benefits Relationship manager compensation</w:t>
            </w: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31F20"/>
              </w:rPr>
              <w:t>(329,039)</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231F20"/>
              </w:rPr>
              <w:t>(275,800)</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231F20"/>
              </w:rPr>
              <w:t>(37,951)</w:t>
            </w:r>
          </w:p>
        </w:tc>
      </w:tr>
      <w:tr>
        <w:trPr>
          <w:trHeight w:val="230"/>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231F20"/>
              </w:rPr>
              <w:t>Other compensations</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231F20"/>
              </w:rPr>
              <w:t>(426,169)</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231F20"/>
              </w:rPr>
              <w:t>(409,995)</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231F20"/>
              </w:rPr>
              <w:t>(56,417)</w:t>
            </w:r>
          </w:p>
        </w:tc>
      </w:tr>
      <w:tr>
        <w:trPr>
          <w:trHeight w:val="210"/>
        </w:trPr>
        <w:tc>
          <w:tcPr>
            <w:tcW w:w="5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compensation and benefits</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(755,208)</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(685,795)</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(94,368)</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231F20"/>
              </w:rPr>
              <w:t>Selling expenses</w:t>
            </w: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31F20"/>
              </w:rPr>
              <w:t>(208,672)</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231F20"/>
              </w:rPr>
              <w:t>(124,222)</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231F20"/>
              </w:rPr>
              <w:t>(17,094)</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General and administrative expenses</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231F20"/>
              </w:rPr>
              <w:t>(109,683)</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231F20"/>
              </w:rPr>
              <w:t>(151,018)</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231F20"/>
              </w:rPr>
              <w:t>(20,781)</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231F20"/>
              </w:rPr>
              <w:t>Reversal of credit losses</w:t>
            </w: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31F20"/>
              </w:rPr>
              <w:t>5,478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428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59</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Other operating expenses, net</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231F20"/>
              </w:rPr>
              <w:t>(67,875)</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231F20"/>
              </w:rPr>
              <w:t>(63,153)</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231F20"/>
              </w:rPr>
              <w:t>(8,690)</w:t>
            </w:r>
          </w:p>
        </w:tc>
      </w:tr>
      <w:tr>
        <w:trPr>
          <w:trHeight w:val="23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231F20"/>
              </w:rPr>
              <w:t>Government subsidies</w:t>
            </w: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31F20"/>
              </w:rPr>
              <w:t>19,032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13,872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1,909</w:t>
            </w:r>
          </w:p>
        </w:tc>
      </w:tr>
      <w:tr>
        <w:trPr>
          <w:trHeight w:val="210"/>
        </w:trPr>
        <w:tc>
          <w:tcPr>
            <w:tcW w:w="5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cost and expenses</w:t>
            </w: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(1,116,928)</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(1,009,888)</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(138,965)</w:t>
            </w:r>
          </w:p>
        </w:tc>
      </w:tr>
      <w:tr>
        <w:trPr>
          <w:trHeight w:val="209"/>
        </w:trPr>
        <w:tc>
          <w:tcPr>
            <w:tcW w:w="5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628,302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255,501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35,159</w:t>
            </w:r>
          </w:p>
        </w:tc>
      </w:tr>
      <w:tr>
        <w:trPr>
          <w:trHeight w:val="642"/>
        </w:trPr>
        <w:tc>
          <w:tcPr>
            <w:tcW w:w="5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Borders>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2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r>
      <w:tr>
        <w:trPr>
          <w:trHeight w:val="187"/>
        </w:trPr>
        <w:tc>
          <w:tcPr>
            <w:tcW w:w="5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6"/>
                <w:szCs w:val="16"/>
                <w:color w:val="auto"/>
              </w:rPr>
            </w:pPr>
          </w:p>
        </w:tc>
      </w:tr>
      <w:tr>
        <w:trPr>
          <w:trHeight w:val="238"/>
        </w:trPr>
        <w:tc>
          <w:tcPr>
            <w:tcW w:w="564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i w:val="1"/>
                <w:iCs w:val="1"/>
                <w:color w:val="auto"/>
                <w:w w:val="97"/>
              </w:rPr>
              <w:t>Notes</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rPr>
              <w:t>RMB</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i w:val="1"/>
                <w:iCs w:val="1"/>
                <w:color w:val="auto"/>
                <w:w w:val="99"/>
              </w:rPr>
              <w:t>RMB</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i w:val="1"/>
                <w:iCs w:val="1"/>
                <w:color w:val="auto"/>
                <w:w w:val="99"/>
              </w:rPr>
              <w:t>US$</w:t>
            </w:r>
          </w:p>
        </w:tc>
      </w:tr>
      <w:tr>
        <w:trPr>
          <w:trHeight w:val="210"/>
        </w:trPr>
        <w:tc>
          <w:tcPr>
            <w:tcW w:w="56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8"/>
              </w:rPr>
              <w:t>(Unaudited)</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rPr>
              <w:t>(Unaudited)</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(Unaudited)</w:t>
            </w: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74,072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88,772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12,215</w:t>
            </w:r>
          </w:p>
        </w:tc>
      </w:tr>
      <w:tr>
        <w:trPr>
          <w:trHeight w:val="216"/>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31F20"/>
              </w:rPr>
              <w:t>Investment (loss) income</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231F20"/>
              </w:rPr>
              <w:t>(17,559)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15,585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2,145</w:t>
            </w: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Other income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31F20"/>
              </w:rPr>
              <w:t>25,379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1,017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152</w:t>
            </w:r>
          </w:p>
        </w:tc>
      </w:tr>
      <w:tr>
        <w:trPr>
          <w:trHeight w:val="229"/>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31F20"/>
              </w:rPr>
              <w:t>Reversal of settlement expenses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231F20"/>
                <w:w w:val="88"/>
              </w:rPr>
              <w:t>7</w:t>
            </w: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11,476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1,579</w:t>
            </w:r>
          </w:p>
        </w:tc>
      </w:tr>
      <w:tr>
        <w:trPr>
          <w:trHeight w:val="209"/>
        </w:trPr>
        <w:tc>
          <w:tcPr>
            <w:tcW w:w="5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income</w:t>
            </w: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81,892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116,940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16,091</w:t>
            </w:r>
          </w:p>
        </w:tc>
      </w:tr>
      <w:tr>
        <w:trPr>
          <w:trHeight w:val="209"/>
        </w:trPr>
        <w:tc>
          <w:tcPr>
            <w:tcW w:w="5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taxes and income from equity in affiliates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710,194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372,441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51,250</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231F20"/>
              </w:rPr>
              <w:t>Income tax expense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231F20"/>
                <w:w w:val="88"/>
              </w:rPr>
              <w:t>4</w:t>
            </w:r>
          </w:p>
        </w:tc>
        <w:tc>
          <w:tcPr>
            <w:tcW w:w="2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31F20"/>
              </w:rPr>
              <w:t>(159,793)</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231F20"/>
              </w:rPr>
              <w:t>(82,943)</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231F20"/>
              </w:rPr>
              <w:t>(11,413)</w:t>
            </w:r>
          </w:p>
        </w:tc>
      </w:tr>
      <w:tr>
        <w:trPr>
          <w:trHeight w:val="23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Income (loss) from equity in affiliates</w:t>
            </w: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5,230</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231F20"/>
              </w:rPr>
              <w:t>(53,942)</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231F20"/>
              </w:rPr>
              <w:t>(7,423)</w:t>
            </w:r>
          </w:p>
        </w:tc>
      </w:tr>
      <w:tr>
        <w:trPr>
          <w:trHeight w:val="209"/>
        </w:trPr>
        <w:tc>
          <w:tcPr>
            <w:tcW w:w="5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555,631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235,556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32,414</w:t>
            </w:r>
          </w:p>
        </w:tc>
      </w:tr>
      <w:tr>
        <w:trPr>
          <w:trHeight w:val="23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231F20"/>
              </w:rPr>
              <w:t>Less: net (loss) income attributable to non-controlling interests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(4,007)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4,278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589</w:t>
            </w:r>
          </w:p>
        </w:tc>
      </w:tr>
      <w:tr>
        <w:trPr>
          <w:trHeight w:val="209"/>
        </w:trPr>
        <w:tc>
          <w:tcPr>
            <w:tcW w:w="56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194"/>
        </w:trPr>
        <w:tc>
          <w:tcPr>
            <w:tcW w:w="56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attributable to Noah Holdings Private Wealth And Asset</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05"/>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Management Limited shareholders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559,638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231,278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31,825</w:t>
            </w:r>
          </w:p>
        </w:tc>
      </w:tr>
      <w:tr>
        <w:trPr>
          <w:trHeight w:val="197"/>
        </w:trPr>
        <w:tc>
          <w:tcPr>
            <w:tcW w:w="56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88"/>
              </w:rPr>
              <w:t>5</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0.66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0.09</w:t>
            </w: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Diluted</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31F20"/>
              </w:rPr>
              <w:t>1.61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0.66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0.09</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Weighted average number of shares used in computation:</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347,340,180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350,183,620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350,183,620</w:t>
            </w:r>
          </w:p>
        </w:tc>
      </w:tr>
      <w:tr>
        <w:trPr>
          <w:trHeight w:val="216"/>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31F20"/>
              </w:rPr>
              <w:t>Diluted</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347,494,780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350,816,527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350,816,527</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 xml:space="preserve">Note 1: </w:t>
      </w:r>
      <w:r>
        <w:rPr>
          <w:rFonts w:ascii="Times New Roman" w:cs="Times New Roman" w:eastAsia="Times New Roman" w:hAnsi="Times New Roman"/>
          <w:sz w:val="18"/>
          <w:szCs w:val="18"/>
          <w:color w:val="231F20"/>
        </w:rPr>
        <w:t>Results have been retroactively adjusted to reflect the 1-for-10 Share Subdivision effective on October 27, 2023. See Note 2 for details.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9" w:name="page30"/>
    <w:bookmarkEnd w:id="29"/>
    <w:p>
      <w:pPr>
        <w:ind w:right="3880"/>
        <w:spacing w:after="0" w:line="286" w:lineRule="auto"/>
        <w:rPr>
          <w:sz w:val="20"/>
          <w:szCs w:val="20"/>
          <w:color w:val="auto"/>
        </w:rPr>
      </w:pPr>
      <w:r>
        <w:rPr>
          <w:rFonts w:ascii="Times New Roman" w:cs="Times New Roman" w:eastAsia="Times New Roman" w:hAnsi="Times New Roman"/>
          <w:sz w:val="18"/>
          <w:szCs w:val="18"/>
          <w:b w:val="1"/>
          <w:bCs w:val="1"/>
          <w:color w:val="231F20"/>
        </w:rPr>
        <w:t xml:space="preserve">CONDENSED CONSOLIDATED STATEMENTS OF COMPREHENSIVE (LOSS) INCOME </w:t>
      </w:r>
      <w:r>
        <w:rPr>
          <w:rFonts w:ascii="Times New Roman" w:cs="Times New Roman" w:eastAsia="Times New Roman" w:hAnsi="Times New Roman"/>
          <w:sz w:val="18"/>
          <w:szCs w:val="18"/>
          <w:i w:val="1"/>
          <w:iCs w:val="1"/>
          <w:color w:val="231F20"/>
        </w:rPr>
        <w:t>(Amount in Thousands)</w:t>
      </w:r>
    </w:p>
    <w:p>
      <w:pPr>
        <w:sectPr>
          <w:pgSz w:w="11900" w:h="16838" w:orient="portrait"/>
          <w:cols w:equalWidth="0" w:num="1">
            <w:col w:w="11140"/>
          </w:cols>
          <w:pgMar w:left="320" w:top="90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income, net of tax Foreign currency 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other comprehensive income,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Less: comprehensive (loss) income attributable to non-controlling interests</w:t>
      </w:r>
    </w:p>
    <w:p>
      <w:pPr>
        <w:spacing w:after="0" w:line="230" w:lineRule="exact"/>
        <w:rPr>
          <w:sz w:val="20"/>
          <w:szCs w:val="20"/>
          <w:color w:val="auto"/>
        </w:rPr>
      </w:pPr>
    </w:p>
    <w:p>
      <w:pPr>
        <w:ind w:left="180" w:hanging="161"/>
        <w:spacing w:after="0" w:line="286" w:lineRule="auto"/>
        <w:rPr>
          <w:sz w:val="20"/>
          <w:szCs w:val="20"/>
          <w:color w:val="auto"/>
        </w:rPr>
      </w:pPr>
      <w:r>
        <w:rPr>
          <w:rFonts w:ascii="Times New Roman" w:cs="Times New Roman" w:eastAsia="Times New Roman" w:hAnsi="Times New Roman"/>
          <w:sz w:val="18"/>
          <w:szCs w:val="18"/>
          <w:b w:val="1"/>
          <w:bCs w:val="1"/>
          <w:color w:val="auto"/>
        </w:rPr>
        <w:t>Comprehensive income attributable to Noah Holdings Private Wealth And Asset Management Limited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7132320" cy="3003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ind w:left="440"/>
              <w:spacing w:after="0" w:line="188" w:lineRule="exact"/>
              <w:rPr>
                <w:sz w:val="20"/>
                <w:szCs w:val="20"/>
                <w:color w:val="auto"/>
              </w:rPr>
            </w:pPr>
            <w:r>
              <w:rPr>
                <w:rFonts w:ascii="Times New Roman" w:cs="Times New Roman" w:eastAsia="Times New Roman" w:hAnsi="Times New Roman"/>
                <w:sz w:val="18"/>
                <w:szCs w:val="18"/>
                <w:color w:val="auto"/>
              </w:rPr>
              <w:t>2023</w:t>
            </w: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ind w:left="420"/>
              <w:spacing w:after="0" w:line="188" w:lineRule="exact"/>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16"/>
                <w:szCs w:val="16"/>
                <w:color w:val="auto"/>
              </w:rPr>
            </w:pPr>
          </w:p>
        </w:tc>
      </w:tr>
      <w:tr>
        <w:trPr>
          <w:trHeight w:val="238"/>
        </w:trPr>
        <w:tc>
          <w:tcPr>
            <w:tcW w:w="120" w:type="dxa"/>
            <w:vAlign w:val="bottom"/>
          </w:tcPr>
          <w:p>
            <w:pPr>
              <w:spacing w:after="0"/>
              <w:rPr>
                <w:sz w:val="20"/>
                <w:szCs w:val="20"/>
                <w:color w:val="auto"/>
              </w:rPr>
            </w:pPr>
          </w:p>
        </w:tc>
        <w:tc>
          <w:tcPr>
            <w:tcW w:w="1480" w:type="dxa"/>
            <w:vAlign w:val="bottom"/>
            <w:gridSpan w:val="2"/>
          </w:tcPr>
          <w:p>
            <w:pPr>
              <w:ind w:left="460"/>
              <w:spacing w:after="0"/>
              <w:rPr>
                <w:sz w:val="20"/>
                <w:szCs w:val="20"/>
                <w:color w:val="auto"/>
              </w:rPr>
            </w:pPr>
            <w:r>
              <w:rPr>
                <w:rFonts w:ascii="Times New Roman" w:cs="Times New Roman" w:eastAsia="Times New Roman" w:hAnsi="Times New Roman"/>
                <w:sz w:val="18"/>
                <w:szCs w:val="18"/>
                <w:i w:val="1"/>
                <w:iCs w:val="1"/>
                <w:color w:val="auto"/>
              </w:rPr>
              <w:t>RMB</w:t>
            </w:r>
          </w:p>
        </w:tc>
        <w:tc>
          <w:tcPr>
            <w:tcW w:w="14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RMB</w:t>
            </w: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w w:val="99"/>
              </w:rPr>
              <w:t>US$</w:t>
            </w:r>
          </w:p>
        </w:tc>
      </w:tr>
      <w:tr>
        <w:trPr>
          <w:trHeight w:val="187"/>
        </w:trPr>
        <w:tc>
          <w:tcPr>
            <w:tcW w:w="120" w:type="dxa"/>
            <w:vAlign w:val="bottom"/>
          </w:tcPr>
          <w:p>
            <w:pPr>
              <w:spacing w:after="0"/>
              <w:rPr>
                <w:sz w:val="16"/>
                <w:szCs w:val="16"/>
                <w:color w:val="auto"/>
              </w:rPr>
            </w:pPr>
          </w:p>
        </w:tc>
        <w:tc>
          <w:tcPr>
            <w:tcW w:w="1260" w:type="dxa"/>
            <w:vAlign w:val="bottom"/>
            <w:tcBorders>
              <w:top w:val="single" w:sz="8" w:color="auto"/>
            </w:tcBorders>
          </w:tcPr>
          <w:p>
            <w:pPr>
              <w:ind w:left="200"/>
              <w:spacing w:after="0" w:line="188" w:lineRule="exact"/>
              <w:rPr>
                <w:sz w:val="20"/>
                <w:szCs w:val="20"/>
                <w:color w:val="auto"/>
              </w:rPr>
            </w:pPr>
            <w:r>
              <w:rPr>
                <w:rFonts w:ascii="Times New Roman" w:cs="Times New Roman" w:eastAsia="Times New Roman" w:hAnsi="Times New Roman"/>
                <w:sz w:val="18"/>
                <w:szCs w:val="18"/>
                <w:color w:val="231F20"/>
              </w:rPr>
              <w:t>(Unaudited)</w:t>
            </w:r>
          </w:p>
        </w:tc>
        <w:tc>
          <w:tcPr>
            <w:tcW w:w="220" w:type="dxa"/>
            <w:vAlign w:val="bottom"/>
          </w:tcPr>
          <w:p>
            <w:pPr>
              <w:spacing w:after="0"/>
              <w:rPr>
                <w:sz w:val="16"/>
                <w:szCs w:val="16"/>
                <w:color w:val="auto"/>
              </w:rPr>
            </w:pPr>
          </w:p>
        </w:tc>
        <w:tc>
          <w:tcPr>
            <w:tcW w:w="1220" w:type="dxa"/>
            <w:vAlign w:val="bottom"/>
            <w:tcBorders>
              <w:top w:val="single" w:sz="8" w:color="auto"/>
            </w:tcBorders>
          </w:tcPr>
          <w:p>
            <w:pPr>
              <w:ind w:left="140"/>
              <w:spacing w:after="0" w:line="188" w:lineRule="exact"/>
              <w:rPr>
                <w:sz w:val="20"/>
                <w:szCs w:val="20"/>
                <w:color w:val="auto"/>
              </w:rPr>
            </w:pPr>
            <w:r>
              <w:rPr>
                <w:rFonts w:ascii="Times New Roman" w:cs="Times New Roman" w:eastAsia="Times New Roman" w:hAnsi="Times New Roman"/>
                <w:sz w:val="18"/>
                <w:szCs w:val="18"/>
                <w:b w:val="1"/>
                <w:bCs w:val="1"/>
                <w:color w:val="231F20"/>
              </w:rPr>
              <w:t>(Unaudited)</w:t>
            </w:r>
          </w:p>
        </w:tc>
        <w:tc>
          <w:tcPr>
            <w:tcW w:w="220" w:type="dxa"/>
            <w:vAlign w:val="bottom"/>
          </w:tcPr>
          <w:p>
            <w:pPr>
              <w:spacing w:after="0"/>
              <w:rPr>
                <w:sz w:val="16"/>
                <w:szCs w:val="16"/>
                <w:color w:val="auto"/>
              </w:rPr>
            </w:pP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231F20"/>
                <w:w w:val="98"/>
              </w:rPr>
              <w:t>(Unaudited)</w:t>
            </w:r>
          </w:p>
        </w:tc>
        <w:tc>
          <w:tcPr>
            <w:tcW w:w="20" w:type="dxa"/>
            <w:vAlign w:val="bottom"/>
          </w:tcPr>
          <w:p>
            <w:pPr>
              <w:spacing w:after="0"/>
              <w:rPr>
                <w:sz w:val="16"/>
                <w:szCs w:val="16"/>
                <w:color w:val="auto"/>
              </w:rPr>
            </w:pPr>
          </w:p>
        </w:tc>
      </w:tr>
      <w:tr>
        <w:trPr>
          <w:trHeight w:val="230"/>
        </w:trPr>
        <w:tc>
          <w:tcPr>
            <w:tcW w:w="12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31F20"/>
              </w:rPr>
              <w:t>555,631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235,556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231F20"/>
              </w:rPr>
              <w:t>32,414</w:t>
            </w:r>
          </w:p>
        </w:tc>
      </w:tr>
      <w:tr>
        <w:trPr>
          <w:trHeight w:val="238"/>
        </w:trPr>
        <w:tc>
          <w:tcPr>
            <w:tcW w:w="12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123,918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82,683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11,378</w:t>
            </w:r>
          </w:p>
        </w:tc>
      </w:tr>
      <w:tr>
        <w:trPr>
          <w:trHeight w:val="20"/>
        </w:trPr>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123,918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82,683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11,378</w:t>
            </w:r>
          </w:p>
        </w:tc>
      </w:tr>
      <w:tr>
        <w:trPr>
          <w:trHeight w:val="20"/>
        </w:trPr>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r>
      <w:tr>
        <w:trPr>
          <w:trHeight w:val="407"/>
        </w:trPr>
        <w:tc>
          <w:tcPr>
            <w:tcW w:w="120" w:type="dxa"/>
            <w:vAlign w:val="bottom"/>
          </w:tcPr>
          <w:p>
            <w:pPr>
              <w:spacing w:after="0"/>
              <w:rPr>
                <w:sz w:val="24"/>
                <w:szCs w:val="24"/>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679,549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318,239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43,792</w:t>
            </w:r>
          </w:p>
        </w:tc>
      </w:tr>
      <w:tr>
        <w:trPr>
          <w:trHeight w:val="248"/>
        </w:trPr>
        <w:tc>
          <w:tcPr>
            <w:tcW w:w="120" w:type="dxa"/>
            <w:vAlign w:val="bottom"/>
          </w:tcPr>
          <w:p>
            <w:pPr>
              <w:spacing w:after="0"/>
              <w:rPr>
                <w:sz w:val="21"/>
                <w:szCs w:val="21"/>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(4,189)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3,018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415</w:t>
            </w:r>
          </w:p>
        </w:tc>
      </w:tr>
      <w:tr>
        <w:trPr>
          <w:trHeight w:val="20"/>
        </w:trPr>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r>
      <w:tr>
        <w:trPr>
          <w:trHeight w:val="668"/>
        </w:trPr>
        <w:tc>
          <w:tcPr>
            <w:tcW w:w="120" w:type="dxa"/>
            <w:vAlign w:val="bottom"/>
          </w:tcPr>
          <w:p>
            <w:pPr>
              <w:spacing w:after="0"/>
              <w:rPr>
                <w:sz w:val="24"/>
                <w:szCs w:val="24"/>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683,738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315,221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43,377</w:t>
            </w:r>
          </w:p>
        </w:tc>
      </w:tr>
      <w:tr>
        <w:trPr>
          <w:trHeight w:val="20"/>
        </w:trPr>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180" w:space="680"/>
            <w:col w:w="4280"/>
          </w:cols>
          <w:pgMar w:left="320" w:top="900" w:right="439" w:bottom="1440" w:gutter="0" w:footer="0" w:header="0"/>
          <w:type w:val="continuous"/>
        </w:sect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The accompanying note is an integral part of these condensed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231F20"/>
        </w:rPr>
        <w:t>CONDENSED CONSOLIDATED BALANCE SHEETS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(Amount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December 31,</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18"/>
                <w:szCs w:val="18"/>
                <w:color w:val="auto"/>
              </w:rPr>
            </w:pPr>
          </w:p>
        </w:tc>
        <w:tc>
          <w:tcPr>
            <w:tcW w:w="12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Notes</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rPr>
              <w:t>RMB</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i w:val="1"/>
                <w:iCs w:val="1"/>
                <w:color w:val="auto"/>
                <w:w w:val="99"/>
              </w:rPr>
              <w:t>RMB</w:t>
            </w: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i w:val="1"/>
                <w:iCs w:val="1"/>
                <w:color w:val="auto"/>
              </w:rPr>
              <w:t>US$</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(Audited)</w:t>
            </w:r>
          </w:p>
        </w:tc>
        <w:tc>
          <w:tcPr>
            <w:tcW w:w="220" w:type="dxa"/>
            <w:vAlign w:val="bottom"/>
          </w:tcPr>
          <w:p>
            <w:pPr>
              <w:spacing w:after="0"/>
              <w:rPr>
                <w:sz w:val="19"/>
                <w:szCs w:val="19"/>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rPr>
              <w:t>(Unaudited)</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231F20"/>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Assets</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5,192,127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4,604,946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633,662</w:t>
            </w:r>
          </w:p>
        </w:tc>
        <w:tc>
          <w:tcPr>
            <w:tcW w:w="0" w:type="dxa"/>
            <w:vAlign w:val="bottom"/>
          </w:tcPr>
          <w:p>
            <w:pPr>
              <w:spacing w:after="0"/>
              <w:rPr>
                <w:sz w:val="1"/>
                <w:szCs w:val="1"/>
                <w:color w:val="auto"/>
              </w:rPr>
            </w:pPr>
          </w:p>
        </w:tc>
      </w:tr>
      <w:tr>
        <w:trPr>
          <w:trHeight w:val="216"/>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Restricted cash</w:t>
            </w: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31F20"/>
              </w:rPr>
              <w:t>154,433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4,574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629</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31F20"/>
              </w:rPr>
              <w:t>Short-term investments</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379,456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1,287,400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177,152</w:t>
            </w:r>
          </w:p>
        </w:tc>
        <w:tc>
          <w:tcPr>
            <w:tcW w:w="0" w:type="dxa"/>
            <w:vAlign w:val="bottom"/>
          </w:tcPr>
          <w:p>
            <w:pPr>
              <w:spacing w:after="0"/>
              <w:rPr>
                <w:sz w:val="1"/>
                <w:szCs w:val="1"/>
                <w:color w:val="auto"/>
              </w:rPr>
            </w:pPr>
          </w:p>
        </w:tc>
      </w:tr>
      <w:tr>
        <w:trPr>
          <w:trHeight w:val="216"/>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Accounts receivable, net</w:t>
            </w:r>
          </w:p>
        </w:tc>
        <w:tc>
          <w:tcPr>
            <w:tcW w:w="2560" w:type="dxa"/>
            <w:vAlign w:val="bottom"/>
            <w:gridSpan w:val="2"/>
          </w:tcPr>
          <w:p>
            <w:pPr>
              <w:jc w:val="center"/>
              <w:ind w:left="1310"/>
              <w:spacing w:after="0"/>
              <w:rPr>
                <w:sz w:val="20"/>
                <w:szCs w:val="20"/>
                <w:color w:val="auto"/>
              </w:rPr>
            </w:pPr>
            <w:r>
              <w:rPr>
                <w:rFonts w:ascii="Times New Roman" w:cs="Times New Roman" w:eastAsia="Times New Roman" w:hAnsi="Times New Roman"/>
                <w:sz w:val="18"/>
                <w:szCs w:val="18"/>
                <w:i w:val="1"/>
                <w:iCs w:val="1"/>
                <w:color w:val="231F20"/>
                <w:w w:val="88"/>
              </w:rPr>
              <w:t>6</w:t>
            </w:r>
          </w:p>
        </w:tc>
        <w:tc>
          <w:tcPr>
            <w:tcW w:w="2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31F20"/>
              </w:rPr>
              <w:t>503,978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429,417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59,090</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31F20"/>
              </w:rPr>
              <w:t>Amounts due from related parties, net</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393,891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444,937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61,225</w:t>
            </w:r>
          </w:p>
        </w:tc>
        <w:tc>
          <w:tcPr>
            <w:tcW w:w="0" w:type="dxa"/>
            <w:vAlign w:val="bottom"/>
          </w:tcPr>
          <w:p>
            <w:pPr>
              <w:spacing w:after="0"/>
              <w:rPr>
                <w:sz w:val="1"/>
                <w:szCs w:val="1"/>
                <w:color w:val="auto"/>
              </w:rPr>
            </w:pPr>
          </w:p>
        </w:tc>
      </w:tr>
      <w:tr>
        <w:trPr>
          <w:trHeight w:val="216"/>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Loans receivable, net</w:t>
            </w: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31F20"/>
              </w:rPr>
              <w:t>286,921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207,122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28,501</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31F20"/>
              </w:rPr>
              <w:t>Other current assets</w:t>
            </w:r>
          </w:p>
        </w:tc>
        <w:tc>
          <w:tcPr>
            <w:tcW w:w="1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206,250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226,332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31,145</w:t>
            </w:r>
          </w:p>
        </w:tc>
        <w:tc>
          <w:tcPr>
            <w:tcW w:w="0" w:type="dxa"/>
            <w:vAlign w:val="bottom"/>
          </w:tcPr>
          <w:p>
            <w:pPr>
              <w:spacing w:after="0"/>
              <w:rPr>
                <w:sz w:val="1"/>
                <w:szCs w:val="1"/>
                <w:color w:val="auto"/>
              </w:rPr>
            </w:pPr>
          </w:p>
        </w:tc>
      </w:tr>
      <w:tr>
        <w:trPr>
          <w:trHeight w:val="250"/>
        </w:trPr>
        <w:tc>
          <w:tcPr>
            <w:tcW w:w="4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231F20"/>
              </w:rPr>
              <w:t>Total current assets</w:t>
            </w:r>
          </w:p>
        </w:tc>
        <w:tc>
          <w:tcPr>
            <w:tcW w:w="14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7,117,056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7,204,728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991,404</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810,484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742,322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102,147</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231F20"/>
              </w:rPr>
              <w:t>Investment in affiliates</w:t>
            </w: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31F20"/>
              </w:rPr>
              <w:t>1,526,544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1,445,356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198,888</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Property and equipment, net</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2,482,199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2,416,072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332,462</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231F20"/>
              </w:rPr>
              <w:t>Operating lease right-of-use assets, net</w:t>
            </w: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31F20"/>
              </w:rPr>
              <w:t>139,019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102,301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14,077</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Deferred tax assets</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431,494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400,401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55,097</w:t>
            </w: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231F20"/>
              </w:rPr>
              <w:t>Other non-current assets</w:t>
            </w:r>
          </w:p>
        </w:tc>
        <w:tc>
          <w:tcPr>
            <w:tcW w:w="1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31F20"/>
              </w:rPr>
              <w:t>178,582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155,825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21,442</w:t>
            </w:r>
          </w:p>
        </w:tc>
        <w:tc>
          <w:tcPr>
            <w:tcW w:w="0" w:type="dxa"/>
            <w:vAlign w:val="bottom"/>
          </w:tcPr>
          <w:p>
            <w:pPr>
              <w:spacing w:after="0"/>
              <w:rPr>
                <w:sz w:val="1"/>
                <w:szCs w:val="1"/>
                <w:color w:val="auto"/>
              </w:rPr>
            </w:pPr>
          </w:p>
        </w:tc>
      </w:tr>
      <w:tr>
        <w:trPr>
          <w:trHeight w:val="250"/>
        </w:trPr>
        <w:tc>
          <w:tcPr>
            <w:tcW w:w="4220" w:type="dxa"/>
            <w:vAlign w:val="bottom"/>
            <w:tcBorders>
              <w:top w:val="single" w:sz="8" w:color="CCEEFF"/>
            </w:tcBorders>
            <w:shd w:val="clear" w:color="auto" w:fill="CCEEFF"/>
          </w:tcPr>
          <w:p>
            <w:pPr>
              <w:spacing w:after="0"/>
              <w:rPr>
                <w:sz w:val="21"/>
                <w:szCs w:val="21"/>
                <w:color w:val="auto"/>
              </w:rPr>
            </w:pPr>
          </w:p>
        </w:tc>
        <w:tc>
          <w:tcPr>
            <w:tcW w:w="142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12,685,378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12,467,005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1,715,517</w:t>
            </w:r>
          </w:p>
        </w:tc>
        <w:tc>
          <w:tcPr>
            <w:tcW w:w="0" w:type="dxa"/>
            <w:vAlign w:val="bottom"/>
          </w:tcPr>
          <w:p>
            <w:pPr>
              <w:spacing w:after="0"/>
              <w:rPr>
                <w:sz w:val="1"/>
                <w:szCs w:val="1"/>
                <w:color w:val="auto"/>
              </w:rPr>
            </w:pPr>
          </w:p>
        </w:tc>
      </w:tr>
      <w:tr>
        <w:trPr>
          <w:trHeight w:val="196"/>
        </w:trPr>
        <w:tc>
          <w:tcPr>
            <w:tcW w:w="422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payroll and welfare expenses</w:t>
            </w: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564,096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346,543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47,686</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31F20"/>
              </w:rPr>
              <w:t>Income tax payable</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89,694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76,318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10,502</w:t>
            </w:r>
          </w:p>
        </w:tc>
        <w:tc>
          <w:tcPr>
            <w:tcW w:w="0" w:type="dxa"/>
            <w:vAlign w:val="bottom"/>
          </w:tcPr>
          <w:p>
            <w:pPr>
              <w:spacing w:after="0"/>
              <w:rPr>
                <w:sz w:val="1"/>
                <w:szCs w:val="1"/>
                <w:color w:val="auto"/>
              </w:rPr>
            </w:pPr>
          </w:p>
        </w:tc>
      </w:tr>
      <w:tr>
        <w:trPr>
          <w:trHeight w:val="216"/>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Deferred revenues</w:t>
            </w: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31F20"/>
              </w:rPr>
              <w:t>72,824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73,857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10,163</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31F20"/>
              </w:rPr>
              <w:t>Dividend payable</w:t>
            </w:r>
          </w:p>
        </w:tc>
        <w:tc>
          <w:tcPr>
            <w:tcW w:w="2560" w:type="dxa"/>
            <w:vAlign w:val="bottom"/>
            <w:gridSpan w:val="2"/>
            <w:shd w:val="clear" w:color="auto" w:fill="CCEEFF"/>
          </w:tcPr>
          <w:p>
            <w:pPr>
              <w:jc w:val="center"/>
              <w:ind w:left="1330"/>
              <w:spacing w:after="0"/>
              <w:rPr>
                <w:sz w:val="20"/>
                <w:szCs w:val="20"/>
                <w:color w:val="auto"/>
              </w:rPr>
            </w:pPr>
            <w:r>
              <w:rPr>
                <w:rFonts w:ascii="Times New Roman" w:cs="Times New Roman" w:eastAsia="Times New Roman" w:hAnsi="Times New Roman"/>
                <w:sz w:val="18"/>
                <w:szCs w:val="18"/>
                <w:i w:val="1"/>
                <w:iCs w:val="1"/>
                <w:color w:val="231F20"/>
                <w:w w:val="99"/>
              </w:rPr>
              <w:t>10</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1,018,000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140,082</w:t>
            </w:r>
          </w:p>
        </w:tc>
        <w:tc>
          <w:tcPr>
            <w:tcW w:w="0" w:type="dxa"/>
            <w:vAlign w:val="bottom"/>
          </w:tcPr>
          <w:p>
            <w:pPr>
              <w:spacing w:after="0"/>
              <w:rPr>
                <w:sz w:val="1"/>
                <w:szCs w:val="1"/>
                <w:color w:val="auto"/>
              </w:rPr>
            </w:pPr>
          </w:p>
        </w:tc>
      </w:tr>
      <w:tr>
        <w:trPr>
          <w:trHeight w:val="216"/>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Contingent liabilities</w:t>
            </w:r>
          </w:p>
        </w:tc>
        <w:tc>
          <w:tcPr>
            <w:tcW w:w="2560" w:type="dxa"/>
            <w:vAlign w:val="bottom"/>
            <w:gridSpan w:val="2"/>
          </w:tcPr>
          <w:p>
            <w:pPr>
              <w:jc w:val="center"/>
              <w:ind w:left="1310"/>
              <w:spacing w:after="0"/>
              <w:rPr>
                <w:sz w:val="20"/>
                <w:szCs w:val="20"/>
                <w:color w:val="auto"/>
              </w:rPr>
            </w:pPr>
            <w:r>
              <w:rPr>
                <w:rFonts w:ascii="Times New Roman" w:cs="Times New Roman" w:eastAsia="Times New Roman" w:hAnsi="Times New Roman"/>
                <w:sz w:val="18"/>
                <w:szCs w:val="18"/>
                <w:i w:val="1"/>
                <w:iCs w:val="1"/>
                <w:color w:val="231F20"/>
                <w:w w:val="88"/>
              </w:rPr>
              <w:t>8</w:t>
            </w:r>
          </w:p>
        </w:tc>
        <w:tc>
          <w:tcPr>
            <w:tcW w:w="2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31F20"/>
              </w:rPr>
              <w:t>482,802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475,777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65,469</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31F20"/>
              </w:rPr>
              <w:t>Other current liabilities</w:t>
            </w:r>
          </w:p>
        </w:tc>
        <w:tc>
          <w:tcPr>
            <w:tcW w:w="1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681,802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420,527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57,866</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1,891,218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2,411,022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331,768</w:t>
            </w:r>
          </w:p>
        </w:tc>
        <w:tc>
          <w:tcPr>
            <w:tcW w:w="0" w:type="dxa"/>
            <w:vAlign w:val="bottom"/>
          </w:tcPr>
          <w:p>
            <w:pPr>
              <w:spacing w:after="0"/>
              <w:rPr>
                <w:sz w:val="1"/>
                <w:szCs w:val="1"/>
                <w:color w:val="auto"/>
              </w:rPr>
            </w:pPr>
          </w:p>
        </w:tc>
      </w:tr>
      <w:tr>
        <w:trPr>
          <w:trHeight w:val="209"/>
        </w:trPr>
        <w:tc>
          <w:tcPr>
            <w:tcW w:w="4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262,404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245,609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33,797</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231F20"/>
              </w:rPr>
              <w:t>Operating lease liabilities, non-current</w:t>
            </w: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31F20"/>
              </w:rPr>
              <w:t>76,533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55,043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7,574</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Other non-current liabilities</w:t>
            </w:r>
          </w:p>
        </w:tc>
        <w:tc>
          <w:tcPr>
            <w:tcW w:w="1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27,660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24,980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3,437</w:t>
            </w:r>
          </w:p>
        </w:tc>
        <w:tc>
          <w:tcPr>
            <w:tcW w:w="0" w:type="dxa"/>
            <w:vAlign w:val="bottom"/>
          </w:tcPr>
          <w:p>
            <w:pPr>
              <w:spacing w:after="0"/>
              <w:rPr>
                <w:sz w:val="1"/>
                <w:szCs w:val="1"/>
                <w:color w:val="auto"/>
              </w:rPr>
            </w:pPr>
          </w:p>
        </w:tc>
      </w:tr>
      <w:tr>
        <w:trPr>
          <w:trHeight w:val="250"/>
        </w:trPr>
        <w:tc>
          <w:tcPr>
            <w:tcW w:w="4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2,257,815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2,736,654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376,576</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bottom w:val="single" w:sz="8" w:color="CCEEFF"/>
            </w:tcBorders>
            <w:gridSpan w:val="2"/>
            <w:vMerge w:val="restart"/>
          </w:tcPr>
          <w:p>
            <w:pPr>
              <w:jc w:val="right"/>
              <w:ind w:right="97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2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2"/>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December 31,</w:t>
            </w: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18"/>
                <w:szCs w:val="18"/>
                <w:color w:val="auto"/>
              </w:rPr>
            </w:pPr>
          </w:p>
        </w:tc>
        <w:tc>
          <w:tcPr>
            <w:tcW w:w="9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64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Notes</w:t>
            </w:r>
          </w:p>
        </w:tc>
        <w:tc>
          <w:tcPr>
            <w:tcW w:w="220" w:type="dxa"/>
            <w:vAlign w:val="bottom"/>
          </w:tcPr>
          <w:p>
            <w:pPr>
              <w:spacing w:after="0"/>
              <w:rPr>
                <w:sz w:val="20"/>
                <w:szCs w:val="20"/>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rPr>
              <w:t>RMB</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i w:val="1"/>
                <w:iCs w:val="1"/>
                <w:color w:val="auto"/>
                <w:w w:val="99"/>
              </w:rPr>
              <w:t>RMB</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i w:val="1"/>
                <w:iCs w:val="1"/>
                <w:color w:val="auto"/>
                <w:w w:val="99"/>
              </w:rPr>
              <w:t>US$</w:t>
            </w:r>
          </w:p>
        </w:tc>
        <w:tc>
          <w:tcPr>
            <w:tcW w:w="0" w:type="dxa"/>
            <w:vAlign w:val="bottom"/>
          </w:tcPr>
          <w:p>
            <w:pPr>
              <w:spacing w:after="0"/>
              <w:rPr>
                <w:sz w:val="1"/>
                <w:szCs w:val="1"/>
                <w:color w:val="auto"/>
              </w:rPr>
            </w:pPr>
          </w:p>
        </w:tc>
      </w:tr>
      <w:tr>
        <w:trPr>
          <w:trHeight w:val="209"/>
        </w:trPr>
        <w:tc>
          <w:tcPr>
            <w:tcW w:w="66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(Audited)</w:t>
            </w:r>
          </w:p>
        </w:tc>
        <w:tc>
          <w:tcPr>
            <w:tcW w:w="220" w:type="dxa"/>
            <w:vAlign w:val="bottom"/>
          </w:tcPr>
          <w:p>
            <w:pPr>
              <w:spacing w:after="0"/>
              <w:rPr>
                <w:sz w:val="18"/>
                <w:szCs w:val="18"/>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(Unaudited)</w:t>
            </w:r>
          </w:p>
        </w:tc>
        <w:tc>
          <w:tcPr>
            <w:tcW w:w="220" w:type="dxa"/>
            <w:vAlign w:val="bottom"/>
          </w:tcPr>
          <w:p>
            <w:pPr>
              <w:spacing w:after="0"/>
              <w:rPr>
                <w:sz w:val="18"/>
                <w:szCs w:val="18"/>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Contingencies</w:t>
            </w:r>
          </w:p>
        </w:tc>
        <w:tc>
          <w:tcPr>
            <w:tcW w:w="9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i w:val="1"/>
                <w:iCs w:val="1"/>
                <w:color w:val="231F20"/>
              </w:rPr>
              <w:t>8</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Shareholders’ equity:</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640" w:type="dxa"/>
            <w:vAlign w:val="bottom"/>
            <w:shd w:val="clear" w:color="auto" w:fill="CCEEFF"/>
          </w:tcPr>
          <w:p>
            <w:pPr>
              <w:ind w:left="180"/>
              <w:spacing w:after="0" w:line="239" w:lineRule="exact"/>
              <w:rPr>
                <w:sz w:val="20"/>
                <w:szCs w:val="20"/>
                <w:color w:val="auto"/>
              </w:rPr>
            </w:pPr>
            <w:r>
              <w:rPr>
                <w:rFonts w:ascii="Times New Roman" w:cs="Times New Roman" w:eastAsia="Times New Roman" w:hAnsi="Times New Roman"/>
                <w:sz w:val="17"/>
                <w:szCs w:val="17"/>
                <w:color w:val="auto"/>
              </w:rPr>
              <w:t>Ordinary shares</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17"/>
                <w:szCs w:val="17"/>
                <w:color w:val="auto"/>
              </w:rPr>
              <w:t xml:space="preserve"> (US$0.00005 par value): 1,000,000,000 shares</w:t>
            </w: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authorized, 328,034,660 shares issued and 326,307,330 shares outstanding as of</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2023 and 1,000,000,000 shares authorized, 330,686,753 shares issued</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111</w:t>
            </w:r>
          </w:p>
        </w:tc>
        <w:tc>
          <w:tcPr>
            <w:tcW w:w="10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w:t>
            </w:r>
          </w:p>
        </w:tc>
        <w:tc>
          <w:tcPr>
            <w:tcW w:w="0" w:type="dxa"/>
            <w:vAlign w:val="bottom"/>
          </w:tcPr>
          <w:p>
            <w:pPr>
              <w:spacing w:after="0"/>
              <w:rPr>
                <w:sz w:val="1"/>
                <w:szCs w:val="1"/>
                <w:color w:val="auto"/>
              </w:rPr>
            </w:pPr>
          </w:p>
        </w:tc>
      </w:tr>
      <w:tr>
        <w:trPr>
          <w:trHeight w:val="234"/>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and 329,030,418 shares outstanding as of June 30, 2024</w:t>
            </w:r>
          </w:p>
        </w:tc>
        <w:tc>
          <w:tcPr>
            <w:tcW w:w="920" w:type="dxa"/>
            <w:vAlign w:val="bottom"/>
            <w:shd w:val="clear" w:color="auto" w:fill="CCEEFF"/>
          </w:tcPr>
          <w:p>
            <w:pPr>
              <w:spacing w:after="0"/>
              <w:rPr>
                <w:sz w:val="20"/>
                <w:szCs w:val="20"/>
                <w:color w:val="auto"/>
              </w:rPr>
            </w:pP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1220" w:type="dxa"/>
            <w:vAlign w:val="bottom"/>
            <w:gridSpan w:val="2"/>
            <w:vMerge w:val="continue"/>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Additional paid-in capital</w:t>
            </w:r>
          </w:p>
        </w:tc>
        <w:tc>
          <w:tcPr>
            <w:tcW w:w="920" w:type="dxa"/>
            <w:vAlign w:val="bottom"/>
          </w:tcPr>
          <w:p>
            <w:pPr>
              <w:spacing w:after="0"/>
              <w:rPr>
                <w:sz w:val="18"/>
                <w:szCs w:val="18"/>
                <w:color w:val="auto"/>
              </w:rPr>
            </w:pP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3,798,662</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3,858,175</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530,903</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31F20"/>
              </w:rPr>
              <w:t>Retained earnings</w:t>
            </w:r>
          </w:p>
        </w:tc>
        <w:tc>
          <w:tcPr>
            <w:tcW w:w="9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6,436,946</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5,650,224</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777,497</w:t>
            </w:r>
          </w:p>
        </w:tc>
        <w:tc>
          <w:tcPr>
            <w:tcW w:w="0" w:type="dxa"/>
            <w:vAlign w:val="bottom"/>
          </w:tcPr>
          <w:p>
            <w:pPr>
              <w:spacing w:after="0"/>
              <w:rPr>
                <w:sz w:val="1"/>
                <w:szCs w:val="1"/>
                <w:color w:val="auto"/>
              </w:rPr>
            </w:pPr>
          </w:p>
        </w:tc>
      </w:tr>
      <w:tr>
        <w:trPr>
          <w:trHeight w:val="229"/>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Accumulated other comprehensive income</w:t>
            </w:r>
          </w:p>
        </w:tc>
        <w:tc>
          <w:tcPr>
            <w:tcW w:w="920" w:type="dxa"/>
            <w:vAlign w:val="bottom"/>
          </w:tcPr>
          <w:p>
            <w:pPr>
              <w:spacing w:after="0"/>
              <w:rPr>
                <w:sz w:val="19"/>
                <w:szCs w:val="19"/>
                <w:color w:val="auto"/>
              </w:rPr>
            </w:pP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231F20"/>
              </w:rPr>
              <w:t>74,616</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158,559</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21,818</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6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231F20"/>
              </w:rPr>
              <w:t>Total Noah Holdings Private Wealth And Asset Management Limited shareholders’</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231F20"/>
              </w:rPr>
              <w:t>equity</w:t>
            </w:r>
          </w:p>
        </w:tc>
        <w:tc>
          <w:tcPr>
            <w:tcW w:w="920" w:type="dxa"/>
            <w:vAlign w:val="bottom"/>
          </w:tcPr>
          <w:p>
            <w:pPr>
              <w:spacing w:after="0"/>
              <w:rPr>
                <w:sz w:val="20"/>
                <w:szCs w:val="20"/>
                <w:color w:val="auto"/>
              </w:rPr>
            </w:pP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10,310,334</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9,667,069</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1,330,233</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Non-controlling interests</w:t>
            </w:r>
          </w:p>
        </w:tc>
        <w:tc>
          <w:tcPr>
            <w:tcW w:w="92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117,229</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63,282</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8,708</w:t>
            </w:r>
          </w:p>
        </w:tc>
        <w:tc>
          <w:tcPr>
            <w:tcW w:w="0" w:type="dxa"/>
            <w:vAlign w:val="bottom"/>
          </w:tcPr>
          <w:p>
            <w:pPr>
              <w:spacing w:after="0"/>
              <w:rPr>
                <w:sz w:val="1"/>
                <w:szCs w:val="1"/>
                <w:color w:val="auto"/>
              </w:rPr>
            </w:pPr>
          </w:p>
        </w:tc>
      </w:tr>
      <w:tr>
        <w:trPr>
          <w:trHeight w:val="223"/>
        </w:trPr>
        <w:tc>
          <w:tcPr>
            <w:tcW w:w="6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92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10,427,563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9,730,351</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1,338,941</w:t>
            </w:r>
          </w:p>
        </w:tc>
        <w:tc>
          <w:tcPr>
            <w:tcW w:w="0" w:type="dxa"/>
            <w:vAlign w:val="bottom"/>
          </w:tcPr>
          <w:p>
            <w:pPr>
              <w:spacing w:after="0"/>
              <w:rPr>
                <w:sz w:val="1"/>
                <w:szCs w:val="1"/>
                <w:color w:val="auto"/>
              </w:rPr>
            </w:pPr>
          </w:p>
        </w:tc>
      </w:tr>
      <w:tr>
        <w:trPr>
          <w:trHeight w:val="250"/>
        </w:trPr>
        <w:tc>
          <w:tcPr>
            <w:tcW w:w="66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920" w:type="dxa"/>
            <w:vAlign w:val="bottom"/>
            <w:shd w:val="clear" w:color="auto" w:fill="CCEEFF"/>
          </w:tcPr>
          <w:p>
            <w:pPr>
              <w:spacing w:after="0"/>
              <w:rPr>
                <w:sz w:val="21"/>
                <w:szCs w:val="21"/>
                <w:color w:val="auto"/>
              </w:rPr>
            </w:pP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12,685,378</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12,467,005</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1,715,517</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 xml:space="preserve">Note 1: </w:t>
      </w:r>
      <w:r>
        <w:rPr>
          <w:rFonts w:ascii="Times New Roman" w:cs="Times New Roman" w:eastAsia="Times New Roman" w:hAnsi="Times New Roman"/>
          <w:sz w:val="18"/>
          <w:szCs w:val="18"/>
          <w:color w:val="231F20"/>
        </w:rPr>
        <w:t>Results have been retroactively adjusted to reflect the 1-for-10 Share Subdivision effective on October 27, 2023. See Note 2 for details.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231F20"/>
        </w:rPr>
        <w:t>NOTES TO THE CONDENSED CONSOLIDATED FINANCIAL STATEMENTS</w:t>
      </w:r>
    </w:p>
    <w:p>
      <w:pPr>
        <w:spacing w:after="0" w:line="225"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Organization and Principal Activities</w:t>
      </w:r>
    </w:p>
    <w:p>
      <w:pPr>
        <w:spacing w:after="0" w:line="225" w:lineRule="exact"/>
        <w:rPr>
          <w:rFonts w:ascii="Times New Roman" w:cs="Times New Roman" w:eastAsia="Times New Roman" w:hAnsi="Times New Roman"/>
          <w:sz w:val="18"/>
          <w:szCs w:val="18"/>
          <w:b w:val="1"/>
          <w:bCs w:val="1"/>
          <w:color w:val="231F20"/>
        </w:rPr>
      </w:pPr>
    </w:p>
    <w:p>
      <w:pPr>
        <w:jc w:val="both"/>
        <w:ind w:left="660"/>
        <w:spacing w:after="0" w:line="259" w:lineRule="auto"/>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Noah Holdings Private Wealth and Asset Management Limited (the “</w:t>
      </w:r>
      <w:r>
        <w:rPr>
          <w:rFonts w:ascii="Times New Roman" w:cs="Times New Roman" w:eastAsia="Times New Roman" w:hAnsi="Times New Roman"/>
          <w:sz w:val="18"/>
          <w:szCs w:val="18"/>
          <w:b w:val="1"/>
          <w:bCs w:val="1"/>
          <w:color w:val="231F20"/>
        </w:rPr>
        <w:t>Company</w:t>
      </w:r>
      <w:r>
        <w:rPr>
          <w:rFonts w:ascii="Times New Roman" w:cs="Times New Roman" w:eastAsia="Times New Roman" w:hAnsi="Times New Roman"/>
          <w:sz w:val="18"/>
          <w:szCs w:val="18"/>
          <w:color w:val="231F20"/>
        </w:rPr>
        <w:t>”), its subsidiaries and consolidated variable interest entities (“</w:t>
      </w:r>
      <w:r>
        <w:rPr>
          <w:rFonts w:ascii="Times New Roman" w:cs="Times New Roman" w:eastAsia="Times New Roman" w:hAnsi="Times New Roman"/>
          <w:sz w:val="18"/>
          <w:szCs w:val="18"/>
          <w:b w:val="1"/>
          <w:bCs w:val="1"/>
          <w:color w:val="231F20"/>
        </w:rPr>
        <w:t>VIEs</w:t>
      </w:r>
      <w:r>
        <w:rPr>
          <w:rFonts w:ascii="Times New Roman" w:cs="Times New Roman" w:eastAsia="Times New Roman" w:hAnsi="Times New Roman"/>
          <w:sz w:val="18"/>
          <w:szCs w:val="18"/>
          <w:color w:val="231F20"/>
        </w:rPr>
        <w:t>”) (together, the “</w:t>
      </w:r>
      <w:r>
        <w:rPr>
          <w:rFonts w:ascii="Times New Roman" w:cs="Times New Roman" w:eastAsia="Times New Roman" w:hAnsi="Times New Roman"/>
          <w:sz w:val="18"/>
          <w:szCs w:val="18"/>
          <w:b w:val="1"/>
          <w:bCs w:val="1"/>
          <w:color w:val="231F20"/>
        </w:rPr>
        <w:t>Group</w:t>
      </w:r>
      <w:r>
        <w:rPr>
          <w:rFonts w:ascii="Times New Roman" w:cs="Times New Roman" w:eastAsia="Times New Roman" w:hAnsi="Times New Roman"/>
          <w:sz w:val="18"/>
          <w:szCs w:val="18"/>
          <w:color w:val="231F20"/>
        </w:rPr>
        <w:t>”), is a leading and pioneer wealth management service provider in the People’s Republic of China (“</w:t>
      </w:r>
      <w:r>
        <w:rPr>
          <w:rFonts w:ascii="Times New Roman" w:cs="Times New Roman" w:eastAsia="Times New Roman" w:hAnsi="Times New Roman"/>
          <w:sz w:val="18"/>
          <w:szCs w:val="18"/>
          <w:b w:val="1"/>
          <w:bCs w:val="1"/>
          <w:color w:val="231F20"/>
        </w:rPr>
        <w:t>PRC</w:t>
      </w:r>
      <w:r>
        <w:rPr>
          <w:rFonts w:ascii="Times New Roman" w:cs="Times New Roman" w:eastAsia="Times New Roman" w:hAnsi="Times New Roman"/>
          <w:sz w:val="18"/>
          <w:szCs w:val="18"/>
          <w:color w:val="231F20"/>
        </w:rPr>
        <w:t>”) offering comprehensive one-stop advisory services on global investment and asset allocation primarily for high net wealth (“</w:t>
      </w:r>
      <w:r>
        <w:rPr>
          <w:rFonts w:ascii="Times New Roman" w:cs="Times New Roman" w:eastAsia="Times New Roman" w:hAnsi="Times New Roman"/>
          <w:sz w:val="18"/>
          <w:szCs w:val="18"/>
          <w:b w:val="1"/>
          <w:bCs w:val="1"/>
          <w:color w:val="231F20"/>
        </w:rPr>
        <w:t>HNW</w:t>
      </w:r>
      <w:r>
        <w:rPr>
          <w:rFonts w:ascii="Times New Roman" w:cs="Times New Roman" w:eastAsia="Times New Roman" w:hAnsi="Times New Roman"/>
          <w:sz w:val="18"/>
          <w:szCs w:val="18"/>
          <w:color w:val="231F20"/>
        </w:rPr>
        <w:t>”) investors. The Group began offering services in 2005 through Shanghai Noah Investment Management Co., Ltd. (“</w:t>
      </w:r>
      <w:r>
        <w:rPr>
          <w:rFonts w:ascii="Times New Roman" w:cs="Times New Roman" w:eastAsia="Times New Roman" w:hAnsi="Times New Roman"/>
          <w:sz w:val="18"/>
          <w:szCs w:val="18"/>
          <w:b w:val="1"/>
          <w:bCs w:val="1"/>
          <w:color w:val="231F20"/>
        </w:rPr>
        <w:t>Noah Investment</w:t>
      </w:r>
      <w:r>
        <w:rPr>
          <w:rFonts w:ascii="Times New Roman" w:cs="Times New Roman" w:eastAsia="Times New Roman" w:hAnsi="Times New Roman"/>
          <w:sz w:val="18"/>
          <w:szCs w:val="18"/>
          <w:color w:val="231F20"/>
        </w:rPr>
        <w:t>”), a consolidated VIE, founded in the PRC in August 2005.</w:t>
      </w:r>
    </w:p>
    <w:p>
      <w:pPr>
        <w:spacing w:after="0" w:line="179" w:lineRule="exact"/>
        <w:rPr>
          <w:rFonts w:ascii="Times New Roman" w:cs="Times New Roman" w:eastAsia="Times New Roman" w:hAnsi="Times New Roman"/>
          <w:sz w:val="18"/>
          <w:szCs w:val="18"/>
          <w:b w:val="1"/>
          <w:bCs w:val="1"/>
          <w:color w:val="231F20"/>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Summary of Principal Accounting Policies</w:t>
      </w:r>
    </w:p>
    <w:p>
      <w:pPr>
        <w:spacing w:after="0" w:line="225"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i w:val="1"/>
          <w:iCs w:val="1"/>
          <w:color w:val="231F20"/>
        </w:rPr>
      </w:pPr>
      <w:r>
        <w:rPr>
          <w:rFonts w:ascii="Times New Roman" w:cs="Times New Roman" w:eastAsia="Times New Roman" w:hAnsi="Times New Roman"/>
          <w:sz w:val="18"/>
          <w:szCs w:val="18"/>
          <w:b w:val="1"/>
          <w:bCs w:val="1"/>
          <w:i w:val="1"/>
          <w:iCs w:val="1"/>
          <w:color w:val="231F20"/>
        </w:rPr>
        <w:t>Basis of Preparation</w:t>
      </w:r>
    </w:p>
    <w:p>
      <w:pPr>
        <w:spacing w:after="0" w:line="229" w:lineRule="exact"/>
        <w:rPr>
          <w:rFonts w:ascii="Times New Roman" w:cs="Times New Roman" w:eastAsia="Times New Roman" w:hAnsi="Times New Roman"/>
          <w:sz w:val="18"/>
          <w:szCs w:val="18"/>
          <w:b w:val="1"/>
          <w:bCs w:val="1"/>
          <w:i w:val="1"/>
          <w:iCs w:val="1"/>
          <w:color w:val="231F20"/>
        </w:rPr>
      </w:pPr>
    </w:p>
    <w:p>
      <w:pPr>
        <w:jc w:val="both"/>
        <w:ind w:left="660"/>
        <w:spacing w:after="0" w:line="261" w:lineRule="auto"/>
        <w:rPr>
          <w:rFonts w:ascii="Times New Roman" w:cs="Times New Roman" w:eastAsia="Times New Roman" w:hAnsi="Times New Roman"/>
          <w:sz w:val="18"/>
          <w:szCs w:val="18"/>
          <w:b w:val="1"/>
          <w:bCs w:val="1"/>
          <w:i w:val="1"/>
          <w:iCs w:val="1"/>
          <w:color w:val="231F20"/>
        </w:rPr>
      </w:pPr>
      <w:r>
        <w:rPr>
          <w:rFonts w:ascii="Times New Roman" w:cs="Times New Roman" w:eastAsia="Times New Roman" w:hAnsi="Times New Roman"/>
          <w:sz w:val="18"/>
          <w:szCs w:val="18"/>
          <w:color w:val="231F20"/>
        </w:rPr>
        <w:t>The accompanying condensed consolidated financial statements of the Group have been prepared in accordance with accounting principles generally accepted in the United States of America (“</w:t>
      </w:r>
      <w:r>
        <w:rPr>
          <w:rFonts w:ascii="Times New Roman" w:cs="Times New Roman" w:eastAsia="Times New Roman" w:hAnsi="Times New Roman"/>
          <w:sz w:val="18"/>
          <w:szCs w:val="18"/>
          <w:b w:val="1"/>
          <w:bCs w:val="1"/>
          <w:color w:val="231F20"/>
        </w:rPr>
        <w:t>U.S. GAAP</w:t>
      </w:r>
      <w:r>
        <w:rPr>
          <w:rFonts w:ascii="Times New Roman" w:cs="Times New Roman" w:eastAsia="Times New Roman" w:hAnsi="Times New Roman"/>
          <w:sz w:val="18"/>
          <w:szCs w:val="18"/>
          <w:color w:val="231F20"/>
        </w:rPr>
        <w:t>”). In addition, the consolidated financial statements include applicable disclosures required by the Rules Governing the Listing of Securities on The Stock Exchange of Hong Kong Limited (“</w:t>
      </w:r>
      <w:r>
        <w:rPr>
          <w:rFonts w:ascii="Times New Roman" w:cs="Times New Roman" w:eastAsia="Times New Roman" w:hAnsi="Times New Roman"/>
          <w:sz w:val="18"/>
          <w:szCs w:val="18"/>
          <w:b w:val="1"/>
          <w:bCs w:val="1"/>
          <w:color w:val="231F20"/>
        </w:rPr>
        <w:t>Listing Rules</w:t>
      </w:r>
      <w:r>
        <w:rPr>
          <w:rFonts w:ascii="Times New Roman" w:cs="Times New Roman" w:eastAsia="Times New Roman" w:hAnsi="Times New Roman"/>
          <w:sz w:val="18"/>
          <w:szCs w:val="18"/>
          <w:color w:val="231F20"/>
        </w:rPr>
        <w:t>”) and by the Hong Kong Companies Ordinance.</w:t>
      </w:r>
    </w:p>
    <w:p>
      <w:pPr>
        <w:spacing w:after="0" w:line="179" w:lineRule="exact"/>
        <w:rPr>
          <w:rFonts w:ascii="Times New Roman" w:cs="Times New Roman" w:eastAsia="Times New Roman" w:hAnsi="Times New Roman"/>
          <w:sz w:val="18"/>
          <w:szCs w:val="18"/>
          <w:b w:val="1"/>
          <w:bCs w:val="1"/>
          <w:i w:val="1"/>
          <w:iCs w:val="1"/>
          <w:color w:val="231F20"/>
        </w:rPr>
      </w:pPr>
    </w:p>
    <w:p>
      <w:pPr>
        <w:jc w:val="both"/>
        <w:ind w:left="660"/>
        <w:spacing w:after="0" w:line="256" w:lineRule="auto"/>
        <w:rPr>
          <w:rFonts w:ascii="Times New Roman" w:cs="Times New Roman" w:eastAsia="Times New Roman" w:hAnsi="Times New Roman"/>
          <w:sz w:val="18"/>
          <w:szCs w:val="18"/>
          <w:b w:val="1"/>
          <w:bCs w:val="1"/>
          <w:i w:val="1"/>
          <w:iCs w:val="1"/>
          <w:color w:val="231F20"/>
        </w:rPr>
      </w:pPr>
      <w:r>
        <w:rPr>
          <w:rFonts w:ascii="Times New Roman" w:cs="Times New Roman" w:eastAsia="Times New Roman" w:hAnsi="Times New Roman"/>
          <w:sz w:val="18"/>
          <w:szCs w:val="18"/>
          <w:color w:val="231F20"/>
        </w:rPr>
        <w:t>The resolution of Share Subdivision (as defined below) was duly passed by the Company’s shareholders as ordinary resolution by way of poll at the Extraordinary General Meeting held on October 26, 2023. Upon the effectiveness of the resolution, each of the issued and unissued ordinary shares of par value of US$0.0005 each was hereby subdivided into ten (10) ordinary shares of par value of US$0.00005 each (“</w:t>
      </w:r>
      <w:r>
        <w:rPr>
          <w:rFonts w:ascii="Times New Roman" w:cs="Times New Roman" w:eastAsia="Times New Roman" w:hAnsi="Times New Roman"/>
          <w:sz w:val="18"/>
          <w:szCs w:val="18"/>
          <w:b w:val="1"/>
          <w:bCs w:val="1"/>
          <w:color w:val="231F20"/>
        </w:rPr>
        <w:t>Subdivided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Shares</w:t>
      </w:r>
      <w:r>
        <w:rPr>
          <w:rFonts w:ascii="Times New Roman" w:cs="Times New Roman" w:eastAsia="Times New Roman" w:hAnsi="Times New Roman"/>
          <w:sz w:val="18"/>
          <w:szCs w:val="18"/>
          <w:color w:val="231F20"/>
        </w:rPr>
        <w:t>”), and such Subdivided Shares shall rank pari passu in all respects with each other in accordance with the Company’s memorandum and</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articles of association and have the same rights and privileges and be subject to the same restriction as the shares of the Company in issue prior to the Share Subdivision. (“</w:t>
      </w:r>
      <w:r>
        <w:rPr>
          <w:rFonts w:ascii="Times New Roman" w:cs="Times New Roman" w:eastAsia="Times New Roman" w:hAnsi="Times New Roman"/>
          <w:sz w:val="18"/>
          <w:szCs w:val="18"/>
          <w:b w:val="1"/>
          <w:bCs w:val="1"/>
          <w:color w:val="231F20"/>
        </w:rPr>
        <w:t>Share Subdivision</w:t>
      </w:r>
      <w:r>
        <w:rPr>
          <w:rFonts w:ascii="Times New Roman" w:cs="Times New Roman" w:eastAsia="Times New Roman" w:hAnsi="Times New Roman"/>
          <w:sz w:val="18"/>
          <w:szCs w:val="18"/>
          <w:color w:val="231F20"/>
        </w:rPr>
        <w:t>”).</w:t>
      </w:r>
    </w:p>
    <w:p>
      <w:pPr>
        <w:spacing w:after="0" w:line="187" w:lineRule="exact"/>
        <w:rPr>
          <w:rFonts w:ascii="Times New Roman" w:cs="Times New Roman" w:eastAsia="Times New Roman" w:hAnsi="Times New Roman"/>
          <w:sz w:val="18"/>
          <w:szCs w:val="18"/>
          <w:b w:val="1"/>
          <w:bCs w:val="1"/>
          <w:i w:val="1"/>
          <w:iCs w:val="1"/>
          <w:color w:val="231F20"/>
        </w:rPr>
      </w:pPr>
    </w:p>
    <w:p>
      <w:pPr>
        <w:ind w:left="660"/>
        <w:spacing w:after="0" w:line="282" w:lineRule="auto"/>
        <w:rPr>
          <w:rFonts w:ascii="Times New Roman" w:cs="Times New Roman" w:eastAsia="Times New Roman" w:hAnsi="Times New Roman"/>
          <w:sz w:val="18"/>
          <w:szCs w:val="18"/>
          <w:b w:val="1"/>
          <w:bCs w:val="1"/>
          <w:i w:val="1"/>
          <w:iCs w:val="1"/>
          <w:color w:val="231F20"/>
        </w:rPr>
      </w:pPr>
      <w:r>
        <w:rPr>
          <w:rFonts w:ascii="Times New Roman" w:cs="Times New Roman" w:eastAsia="Times New Roman" w:hAnsi="Times New Roman"/>
          <w:sz w:val="18"/>
          <w:szCs w:val="18"/>
          <w:color w:val="231F20"/>
        </w:rPr>
        <w:t>As a result of the Share Subdivision, all share amounts and per share amounts disclosed in this Interim Results Announcement have been adjusted to reflect the Share Subdivision on a retroactive basis in all periods presented.</w:t>
      </w:r>
    </w:p>
    <w:p>
      <w:pPr>
        <w:spacing w:after="0" w:line="157" w:lineRule="exact"/>
        <w:rPr>
          <w:rFonts w:ascii="Times New Roman" w:cs="Times New Roman" w:eastAsia="Times New Roman" w:hAnsi="Times New Roman"/>
          <w:sz w:val="18"/>
          <w:szCs w:val="18"/>
          <w:b w:val="1"/>
          <w:bCs w:val="1"/>
          <w:i w:val="1"/>
          <w:iCs w:val="1"/>
          <w:color w:val="231F20"/>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i w:val="1"/>
          <w:iCs w:val="1"/>
          <w:color w:val="231F20"/>
        </w:rPr>
      </w:pPr>
      <w:r>
        <w:rPr>
          <w:rFonts w:ascii="Times New Roman" w:cs="Times New Roman" w:eastAsia="Times New Roman" w:hAnsi="Times New Roman"/>
          <w:sz w:val="18"/>
          <w:szCs w:val="18"/>
          <w:b w:val="1"/>
          <w:bCs w:val="1"/>
          <w:i w:val="1"/>
          <w:iCs w:val="1"/>
          <w:color w:val="231F20"/>
        </w:rPr>
        <w:t>Use of Estimates</w:t>
      </w:r>
    </w:p>
    <w:p>
      <w:pPr>
        <w:spacing w:after="0" w:line="229" w:lineRule="exact"/>
        <w:rPr>
          <w:rFonts w:ascii="Times New Roman" w:cs="Times New Roman" w:eastAsia="Times New Roman" w:hAnsi="Times New Roman"/>
          <w:sz w:val="18"/>
          <w:szCs w:val="18"/>
          <w:b w:val="1"/>
          <w:bCs w:val="1"/>
          <w:i w:val="1"/>
          <w:iCs w:val="1"/>
          <w:color w:val="231F20"/>
        </w:rPr>
      </w:pPr>
    </w:p>
    <w:p>
      <w:pPr>
        <w:jc w:val="both"/>
        <w:ind w:left="660"/>
        <w:spacing w:after="0" w:line="254" w:lineRule="auto"/>
        <w:rPr>
          <w:rFonts w:ascii="Times New Roman" w:cs="Times New Roman" w:eastAsia="Times New Roman" w:hAnsi="Times New Roman"/>
          <w:sz w:val="18"/>
          <w:szCs w:val="18"/>
          <w:b w:val="1"/>
          <w:bCs w:val="1"/>
          <w:i w:val="1"/>
          <w:iCs w:val="1"/>
          <w:color w:val="231F20"/>
        </w:rPr>
      </w:pPr>
      <w:r>
        <w:rPr>
          <w:rFonts w:ascii="Times New Roman" w:cs="Times New Roman" w:eastAsia="Times New Roman" w:hAnsi="Times New Roman"/>
          <w:sz w:val="18"/>
          <w:szCs w:val="18"/>
          <w:color w:val="231F20"/>
        </w:rPr>
        <w:t>The preparation of financial statements in conformity with U.S. GAAP requires management to make estimates and assumptions that affect the reported amounts of assets and liabilities and the disclosures of contingent assets and liabilities at the date of the financial statements and the reported amounts of revenue and expense during the reporting period. Actual results could differ materially from such estimates. Significant accounting estimates reflected in the Group’s condensed consolidated financial statements include assumptions used to determine valuation allowance for deferred tax assets, allowance for credit losses, fair value measurement of underlying investment portfolios of the funds that the Group invests, fair value of financial instruments, assumptions related to the consolidation of entities in which the Group holds variable interests, assumptions related to the valuation of share-based compensation, variable consideration for revenue recognition, impairment of long- term investments, impairment of long-lived assets, determination of the incremental borrowing rates used for operating lease liabilities and loss contingencies.</w:t>
      </w:r>
    </w:p>
    <w:p>
      <w:pPr>
        <w:spacing w:after="0" w:line="184" w:lineRule="exact"/>
        <w:rPr>
          <w:rFonts w:ascii="Times New Roman" w:cs="Times New Roman" w:eastAsia="Times New Roman" w:hAnsi="Times New Roman"/>
          <w:sz w:val="18"/>
          <w:szCs w:val="18"/>
          <w:b w:val="1"/>
          <w:bCs w:val="1"/>
          <w:i w:val="1"/>
          <w:iCs w:val="1"/>
          <w:color w:val="231F20"/>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i w:val="1"/>
          <w:iCs w:val="1"/>
          <w:color w:val="231F20"/>
        </w:rPr>
      </w:pPr>
      <w:r>
        <w:rPr>
          <w:rFonts w:ascii="Times New Roman" w:cs="Times New Roman" w:eastAsia="Times New Roman" w:hAnsi="Times New Roman"/>
          <w:sz w:val="18"/>
          <w:szCs w:val="18"/>
          <w:b w:val="1"/>
          <w:bCs w:val="1"/>
          <w:i w:val="1"/>
          <w:iCs w:val="1"/>
          <w:color w:val="231F20"/>
        </w:rPr>
        <w:t>Foreign Currency Translation</w:t>
      </w:r>
    </w:p>
    <w:p>
      <w:pPr>
        <w:spacing w:after="0" w:line="225" w:lineRule="exact"/>
        <w:rPr>
          <w:rFonts w:ascii="Times New Roman" w:cs="Times New Roman" w:eastAsia="Times New Roman" w:hAnsi="Times New Roman"/>
          <w:sz w:val="18"/>
          <w:szCs w:val="18"/>
          <w:b w:val="1"/>
          <w:bCs w:val="1"/>
          <w:i w:val="1"/>
          <w:iCs w:val="1"/>
          <w:color w:val="231F20"/>
        </w:rPr>
      </w:pPr>
    </w:p>
    <w:p>
      <w:pPr>
        <w:jc w:val="both"/>
        <w:ind w:left="660"/>
        <w:spacing w:after="0" w:line="262" w:lineRule="auto"/>
        <w:rPr>
          <w:rFonts w:ascii="Times New Roman" w:cs="Times New Roman" w:eastAsia="Times New Roman" w:hAnsi="Times New Roman"/>
          <w:sz w:val="18"/>
          <w:szCs w:val="18"/>
          <w:b w:val="1"/>
          <w:bCs w:val="1"/>
          <w:i w:val="1"/>
          <w:iCs w:val="1"/>
          <w:color w:val="231F20"/>
        </w:rPr>
      </w:pPr>
      <w:r>
        <w:rPr>
          <w:rFonts w:ascii="Times New Roman" w:cs="Times New Roman" w:eastAsia="Times New Roman" w:hAnsi="Times New Roman"/>
          <w:sz w:val="18"/>
          <w:szCs w:val="18"/>
          <w:color w:val="231F20"/>
        </w:rPr>
        <w:t>The Company’s reporting currency is Renminbi (“</w:t>
      </w:r>
      <w:r>
        <w:rPr>
          <w:rFonts w:ascii="Times New Roman" w:cs="Times New Roman" w:eastAsia="Times New Roman" w:hAnsi="Times New Roman"/>
          <w:sz w:val="18"/>
          <w:szCs w:val="18"/>
          <w:b w:val="1"/>
          <w:bCs w:val="1"/>
          <w:color w:val="231F20"/>
        </w:rPr>
        <w:t>RMB</w:t>
      </w:r>
      <w:r>
        <w:rPr>
          <w:rFonts w:ascii="Times New Roman" w:cs="Times New Roman" w:eastAsia="Times New Roman" w:hAnsi="Times New Roman"/>
          <w:sz w:val="18"/>
          <w:szCs w:val="18"/>
          <w:color w:val="231F20"/>
        </w:rPr>
        <w:t>”). The Company’s functional currency is the United States dollar (“</w:t>
      </w:r>
      <w:r>
        <w:rPr>
          <w:rFonts w:ascii="Times New Roman" w:cs="Times New Roman" w:eastAsia="Times New Roman" w:hAnsi="Times New Roman"/>
          <w:sz w:val="18"/>
          <w:szCs w:val="18"/>
          <w:b w:val="1"/>
          <w:bCs w:val="1"/>
          <w:color w:val="231F20"/>
        </w:rPr>
        <w:t>U.S. dollar</w:t>
      </w:r>
      <w:r>
        <w:rPr>
          <w:rFonts w:ascii="Times New Roman" w:cs="Times New Roman" w:eastAsia="Times New Roman" w:hAnsi="Times New Roman"/>
          <w:sz w:val="18"/>
          <w:szCs w:val="18"/>
          <w:color w:val="231F20"/>
        </w:rPr>
        <w:t>” or “</w:t>
      </w:r>
      <w:r>
        <w:rPr>
          <w:rFonts w:ascii="Times New Roman" w:cs="Times New Roman" w:eastAsia="Times New Roman" w:hAnsi="Times New Roman"/>
          <w:sz w:val="18"/>
          <w:szCs w:val="18"/>
          <w:b w:val="1"/>
          <w:bCs w:val="1"/>
          <w:color w:val="231F20"/>
        </w:rPr>
        <w:t>US$</w:t>
      </w:r>
      <w:r>
        <w:rPr>
          <w:rFonts w:ascii="Times New Roman" w:cs="Times New Roman" w:eastAsia="Times New Roman" w:hAnsi="Times New Roman"/>
          <w:sz w:val="18"/>
          <w:szCs w:val="18"/>
          <w:color w:val="231F20"/>
        </w:rPr>
        <w:t>”). The Company’s operations are principally conducted through the subsidiaries and VIEs located in the PRC where RMB is the functional currency. For those subsidiaries and VIEs which are not located in the PRC and have the functional currency other than RMB, the financial statements are translated from their respective functional currencies into RMB.</w:t>
      </w:r>
    </w:p>
    <w:p>
      <w:pPr>
        <w:spacing w:after="0" w:line="180" w:lineRule="exact"/>
        <w:rPr>
          <w:rFonts w:ascii="Times New Roman" w:cs="Times New Roman" w:eastAsia="Times New Roman" w:hAnsi="Times New Roman"/>
          <w:sz w:val="18"/>
          <w:szCs w:val="18"/>
          <w:b w:val="1"/>
          <w:bCs w:val="1"/>
          <w:i w:val="1"/>
          <w:iCs w:val="1"/>
          <w:color w:val="231F20"/>
        </w:rPr>
      </w:pPr>
    </w:p>
    <w:p>
      <w:pPr>
        <w:jc w:val="both"/>
        <w:ind w:left="660"/>
        <w:spacing w:after="0" w:line="261" w:lineRule="auto"/>
        <w:rPr>
          <w:rFonts w:ascii="Times New Roman" w:cs="Times New Roman" w:eastAsia="Times New Roman" w:hAnsi="Times New Roman"/>
          <w:sz w:val="18"/>
          <w:szCs w:val="18"/>
          <w:b w:val="1"/>
          <w:bCs w:val="1"/>
          <w:i w:val="1"/>
          <w:iCs w:val="1"/>
          <w:color w:val="231F20"/>
        </w:rPr>
      </w:pPr>
      <w:r>
        <w:rPr>
          <w:rFonts w:ascii="Times New Roman" w:cs="Times New Roman" w:eastAsia="Times New Roman" w:hAnsi="Times New Roman"/>
          <w:sz w:val="18"/>
          <w:szCs w:val="18"/>
          <w:color w:val="231F20"/>
        </w:rPr>
        <w:t>Assets and liabilities of the Group’s overseas entities denominated in currencies other than the RMB are translated into RMB at the rates of exchange ruling at the balance sheet date. Equity accounts are translated at historical exchange rates and revenues, expenses, gains and losses are translated using the average rate for the year. Translation adjustments are reported as foreign currency translation adjustment and are shown as a separate component of other comprehensive income in the unaudited condensed consolidated statements of comprehensive income.</w:t>
      </w:r>
    </w:p>
    <w:p>
      <w:pPr>
        <w:spacing w:after="0" w:line="179" w:lineRule="exact"/>
        <w:rPr>
          <w:rFonts w:ascii="Times New Roman" w:cs="Times New Roman" w:eastAsia="Times New Roman" w:hAnsi="Times New Roman"/>
          <w:sz w:val="18"/>
          <w:szCs w:val="18"/>
          <w:b w:val="1"/>
          <w:bCs w:val="1"/>
          <w:i w:val="1"/>
          <w:iCs w:val="1"/>
          <w:color w:val="231F20"/>
        </w:rPr>
      </w:pPr>
    </w:p>
    <w:p>
      <w:pPr>
        <w:jc w:val="both"/>
        <w:ind w:left="660"/>
        <w:spacing w:after="0" w:line="266" w:lineRule="auto"/>
        <w:rPr>
          <w:rFonts w:ascii="Times New Roman" w:cs="Times New Roman" w:eastAsia="Times New Roman" w:hAnsi="Times New Roman"/>
          <w:sz w:val="18"/>
          <w:szCs w:val="18"/>
          <w:b w:val="1"/>
          <w:bCs w:val="1"/>
          <w:i w:val="1"/>
          <w:iCs w:val="1"/>
          <w:color w:val="231F20"/>
        </w:rPr>
      </w:pPr>
      <w:r>
        <w:rPr>
          <w:rFonts w:ascii="Times New Roman" w:cs="Times New Roman" w:eastAsia="Times New Roman" w:hAnsi="Times New Roman"/>
          <w:sz w:val="18"/>
          <w:szCs w:val="18"/>
          <w:color w:val="231F20"/>
        </w:rPr>
        <w:t>Translations of amounts from RMB into US$ are included solely for the convenience of the readers and have been made at the rate of US$1 = RMB7.2672 on June 30, 2024, representing the certificated exchange rate published by the Federal Reserve Board. No representation is intended to imply that the RMB amounts could have been, or could be, converted, realized or settled into US$ at that rate, or at any other rate.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Revenues</w:t>
      </w:r>
    </w:p>
    <w:p>
      <w:pPr>
        <w:spacing w:after="0" w:line="229" w:lineRule="exact"/>
        <w:rPr>
          <w:rFonts w:ascii="Times New Roman" w:cs="Times New Roman" w:eastAsia="Times New Roman" w:hAnsi="Times New Roman"/>
          <w:sz w:val="18"/>
          <w:szCs w:val="18"/>
          <w:b w:val="1"/>
          <w:bCs w:val="1"/>
          <w:color w:val="231F20"/>
        </w:rPr>
      </w:pPr>
    </w:p>
    <w:p>
      <w:pPr>
        <w:ind w:left="660"/>
        <w:spacing w:after="0"/>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auto"/>
        </w:rPr>
        <w:t>Revenues by source consist of the following:</w:t>
      </w:r>
    </w:p>
    <w:p>
      <w:pPr>
        <w:spacing w:after="0" w:line="200" w:lineRule="exact"/>
        <w:rPr>
          <w:rFonts w:ascii="Times New Roman" w:cs="Times New Roman" w:eastAsia="Times New Roman" w:hAnsi="Times New Roman"/>
          <w:sz w:val="18"/>
          <w:szCs w:val="18"/>
          <w:b w:val="1"/>
          <w:bCs w:val="1"/>
          <w:color w:val="231F20"/>
        </w:rPr>
      </w:pPr>
    </w:p>
    <w:p>
      <w:pPr>
        <w:spacing w:after="0" w:line="200" w:lineRule="exact"/>
        <w:rPr>
          <w:rFonts w:ascii="Times New Roman" w:cs="Times New Roman" w:eastAsia="Times New Roman" w:hAnsi="Times New Roman"/>
          <w:sz w:val="18"/>
          <w:szCs w:val="18"/>
          <w:b w:val="1"/>
          <w:bCs w:val="1"/>
          <w:color w:val="231F20"/>
        </w:rPr>
      </w:pPr>
    </w:p>
    <w:p>
      <w:pPr>
        <w:spacing w:after="0" w:line="200" w:lineRule="exact"/>
        <w:rPr>
          <w:rFonts w:ascii="Times New Roman" w:cs="Times New Roman" w:eastAsia="Times New Roman" w:hAnsi="Times New Roman"/>
          <w:sz w:val="18"/>
          <w:szCs w:val="18"/>
          <w:b w:val="1"/>
          <w:bCs w:val="1"/>
          <w:color w:val="231F20"/>
        </w:rPr>
      </w:pPr>
    </w:p>
    <w:p>
      <w:pPr>
        <w:spacing w:after="0" w:line="200" w:lineRule="exact"/>
        <w:rPr>
          <w:rFonts w:ascii="Times New Roman" w:cs="Times New Roman" w:eastAsia="Times New Roman" w:hAnsi="Times New Roman"/>
          <w:sz w:val="18"/>
          <w:szCs w:val="18"/>
          <w:b w:val="1"/>
          <w:bCs w:val="1"/>
          <w:color w:val="231F20"/>
        </w:rPr>
      </w:pPr>
    </w:p>
    <w:p>
      <w:pPr>
        <w:spacing w:after="0" w:line="200" w:lineRule="exact"/>
        <w:rPr>
          <w:rFonts w:ascii="Times New Roman" w:cs="Times New Roman" w:eastAsia="Times New Roman" w:hAnsi="Times New Roman"/>
          <w:sz w:val="18"/>
          <w:szCs w:val="18"/>
          <w:b w:val="1"/>
          <w:bCs w:val="1"/>
          <w:color w:val="231F20"/>
        </w:rPr>
      </w:pPr>
    </w:p>
    <w:p>
      <w:pPr>
        <w:spacing w:after="0" w:line="332" w:lineRule="exact"/>
        <w:rPr>
          <w:rFonts w:ascii="Times New Roman" w:cs="Times New Roman" w:eastAsia="Times New Roman" w:hAnsi="Times New Roman"/>
          <w:sz w:val="18"/>
          <w:szCs w:val="18"/>
          <w:b w:val="1"/>
          <w:bCs w:val="1"/>
          <w:color w:val="231F20"/>
        </w:rPr>
      </w:pPr>
    </w:p>
    <w:p>
      <w:pPr>
        <w:ind w:left="660" w:right="5400"/>
        <w:spacing w:after="0" w:line="255" w:lineRule="auto"/>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One-time commissions Recurring service fees Performance-based income Other service fees</w:t>
      </w:r>
    </w:p>
    <w:p>
      <w:pPr>
        <w:spacing w:after="0" w:line="2" w:lineRule="exact"/>
        <w:rPr>
          <w:rFonts w:ascii="Times New Roman" w:cs="Times New Roman" w:eastAsia="Times New Roman" w:hAnsi="Times New Roman"/>
          <w:sz w:val="18"/>
          <w:szCs w:val="18"/>
          <w:b w:val="1"/>
          <w:bCs w:val="1"/>
          <w:color w:val="231F20"/>
        </w:rPr>
      </w:pPr>
    </w:p>
    <w:p>
      <w:pPr>
        <w:ind w:left="820" w:right="5980"/>
        <w:spacing w:after="0" w:line="290" w:lineRule="auto"/>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7"/>
          <w:szCs w:val="17"/>
          <w:color w:val="231F20"/>
        </w:rPr>
        <w:t>Lending services Other services</w:t>
      </w:r>
    </w:p>
    <w:p>
      <w:pPr>
        <w:spacing w:after="0" w:line="220" w:lineRule="exact"/>
        <w:rPr>
          <w:rFonts w:ascii="Times New Roman" w:cs="Times New Roman" w:eastAsia="Times New Roman" w:hAnsi="Times New Roman"/>
          <w:sz w:val="18"/>
          <w:szCs w:val="18"/>
          <w:b w:val="1"/>
          <w:bCs w:val="1"/>
          <w:color w:val="231F20"/>
        </w:rPr>
      </w:pPr>
    </w:p>
    <w:p>
      <w:pPr>
        <w:ind w:left="660"/>
        <w:spacing w:after="0"/>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Total revenues</w:t>
      </w:r>
    </w:p>
    <w:p>
      <w:pPr>
        <w:spacing w:after="0" w:line="296" w:lineRule="exact"/>
        <w:rPr>
          <w:rFonts w:ascii="Times New Roman" w:cs="Times New Roman" w:eastAsia="Times New Roman" w:hAnsi="Times New Roman"/>
          <w:sz w:val="18"/>
          <w:szCs w:val="18"/>
          <w:b w:val="1"/>
          <w:bCs w:val="1"/>
          <w:color w:val="231F20"/>
        </w:rPr>
      </w:pPr>
    </w:p>
    <w:p>
      <w:pPr>
        <w:ind w:left="660"/>
        <w:spacing w:after="0"/>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auto"/>
        </w:rPr>
        <w:t>Revenues by timing of recognition is analyzed as follows:</w:t>
      </w:r>
    </w:p>
    <w:p>
      <w:pPr>
        <w:spacing w:after="0" w:line="200" w:lineRule="exact"/>
        <w:rPr>
          <w:rFonts w:ascii="Times New Roman" w:cs="Times New Roman" w:eastAsia="Times New Roman" w:hAnsi="Times New Roman"/>
          <w:sz w:val="18"/>
          <w:szCs w:val="18"/>
          <w:b w:val="1"/>
          <w:bCs w:val="1"/>
          <w:color w:val="231F20"/>
        </w:rPr>
      </w:pPr>
    </w:p>
    <w:p>
      <w:pPr>
        <w:spacing w:after="0" w:line="200" w:lineRule="exact"/>
        <w:rPr>
          <w:rFonts w:ascii="Times New Roman" w:cs="Times New Roman" w:eastAsia="Times New Roman" w:hAnsi="Times New Roman"/>
          <w:sz w:val="18"/>
          <w:szCs w:val="18"/>
          <w:b w:val="1"/>
          <w:bCs w:val="1"/>
          <w:color w:val="231F20"/>
        </w:rPr>
      </w:pPr>
    </w:p>
    <w:p>
      <w:pPr>
        <w:spacing w:after="0" w:line="200" w:lineRule="exact"/>
        <w:rPr>
          <w:rFonts w:ascii="Times New Roman" w:cs="Times New Roman" w:eastAsia="Times New Roman" w:hAnsi="Times New Roman"/>
          <w:sz w:val="18"/>
          <w:szCs w:val="18"/>
          <w:b w:val="1"/>
          <w:bCs w:val="1"/>
          <w:color w:val="231F20"/>
        </w:rPr>
      </w:pPr>
    </w:p>
    <w:p>
      <w:pPr>
        <w:spacing w:after="0" w:line="200" w:lineRule="exact"/>
        <w:rPr>
          <w:rFonts w:ascii="Times New Roman" w:cs="Times New Roman" w:eastAsia="Times New Roman" w:hAnsi="Times New Roman"/>
          <w:sz w:val="18"/>
          <w:szCs w:val="18"/>
          <w:b w:val="1"/>
          <w:bCs w:val="1"/>
          <w:color w:val="231F20"/>
        </w:rPr>
      </w:pPr>
    </w:p>
    <w:p>
      <w:pPr>
        <w:spacing w:after="0" w:line="200" w:lineRule="exact"/>
        <w:rPr>
          <w:rFonts w:ascii="Times New Roman" w:cs="Times New Roman" w:eastAsia="Times New Roman" w:hAnsi="Times New Roman"/>
          <w:sz w:val="18"/>
          <w:szCs w:val="18"/>
          <w:b w:val="1"/>
          <w:bCs w:val="1"/>
          <w:color w:val="231F20"/>
        </w:rPr>
      </w:pPr>
    </w:p>
    <w:p>
      <w:pPr>
        <w:spacing w:after="0" w:line="332" w:lineRule="exact"/>
        <w:rPr>
          <w:rFonts w:ascii="Times New Roman" w:cs="Times New Roman" w:eastAsia="Times New Roman" w:hAnsi="Times New Roman"/>
          <w:sz w:val="18"/>
          <w:szCs w:val="18"/>
          <w:b w:val="1"/>
          <w:bCs w:val="1"/>
          <w:color w:val="231F20"/>
        </w:rPr>
      </w:pPr>
    </w:p>
    <w:p>
      <w:pPr>
        <w:ind w:left="660" w:right="4640"/>
        <w:spacing w:after="0" w:line="282" w:lineRule="auto"/>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Revenue recognized at a point in time Revenue recognized over time</w:t>
      </w:r>
    </w:p>
    <w:p>
      <w:pPr>
        <w:spacing w:after="0" w:line="225" w:lineRule="exact"/>
        <w:rPr>
          <w:rFonts w:ascii="Times New Roman" w:cs="Times New Roman" w:eastAsia="Times New Roman" w:hAnsi="Times New Roman"/>
          <w:sz w:val="18"/>
          <w:szCs w:val="18"/>
          <w:b w:val="1"/>
          <w:bCs w:val="1"/>
          <w:color w:val="231F20"/>
        </w:rPr>
      </w:pPr>
    </w:p>
    <w:p>
      <w:pPr>
        <w:ind w:left="660"/>
        <w:spacing w:after="0"/>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Total revenues</w:t>
      </w:r>
    </w:p>
    <w:p>
      <w:pPr>
        <w:spacing w:after="0" w:line="296" w:lineRule="exact"/>
        <w:rPr>
          <w:rFonts w:ascii="Times New Roman" w:cs="Times New Roman" w:eastAsia="Times New Roman" w:hAnsi="Times New Roman"/>
          <w:sz w:val="18"/>
          <w:szCs w:val="18"/>
          <w:b w:val="1"/>
          <w:bCs w:val="1"/>
          <w:color w:val="231F20"/>
        </w:rPr>
      </w:pPr>
    </w:p>
    <w:p>
      <w:pPr>
        <w:ind w:left="660"/>
        <w:spacing w:after="0"/>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auto"/>
        </w:rPr>
        <w:t>Revenues by geographical location:</w:t>
      </w:r>
    </w:p>
    <w:p>
      <w:pPr>
        <w:spacing w:after="0" w:line="200" w:lineRule="exact"/>
        <w:rPr>
          <w:rFonts w:ascii="Times New Roman" w:cs="Times New Roman" w:eastAsia="Times New Roman" w:hAnsi="Times New Roman"/>
          <w:sz w:val="18"/>
          <w:szCs w:val="18"/>
          <w:b w:val="1"/>
          <w:bCs w:val="1"/>
          <w:color w:val="231F20"/>
        </w:rPr>
      </w:pPr>
    </w:p>
    <w:p>
      <w:pPr>
        <w:spacing w:after="0" w:line="200" w:lineRule="exact"/>
        <w:rPr>
          <w:rFonts w:ascii="Times New Roman" w:cs="Times New Roman" w:eastAsia="Times New Roman" w:hAnsi="Times New Roman"/>
          <w:sz w:val="18"/>
          <w:szCs w:val="18"/>
          <w:b w:val="1"/>
          <w:bCs w:val="1"/>
          <w:color w:val="231F20"/>
        </w:rPr>
      </w:pPr>
    </w:p>
    <w:p>
      <w:pPr>
        <w:spacing w:after="0" w:line="200" w:lineRule="exact"/>
        <w:rPr>
          <w:rFonts w:ascii="Times New Roman" w:cs="Times New Roman" w:eastAsia="Times New Roman" w:hAnsi="Times New Roman"/>
          <w:sz w:val="18"/>
          <w:szCs w:val="18"/>
          <w:b w:val="1"/>
          <w:bCs w:val="1"/>
          <w:color w:val="231F20"/>
        </w:rPr>
      </w:pPr>
    </w:p>
    <w:p>
      <w:pPr>
        <w:spacing w:after="0" w:line="200" w:lineRule="exact"/>
        <w:rPr>
          <w:rFonts w:ascii="Times New Roman" w:cs="Times New Roman" w:eastAsia="Times New Roman" w:hAnsi="Times New Roman"/>
          <w:sz w:val="18"/>
          <w:szCs w:val="18"/>
          <w:b w:val="1"/>
          <w:bCs w:val="1"/>
          <w:color w:val="231F20"/>
        </w:rPr>
      </w:pPr>
    </w:p>
    <w:p>
      <w:pPr>
        <w:spacing w:after="0" w:line="200" w:lineRule="exact"/>
        <w:rPr>
          <w:rFonts w:ascii="Times New Roman" w:cs="Times New Roman" w:eastAsia="Times New Roman" w:hAnsi="Times New Roman"/>
          <w:sz w:val="18"/>
          <w:szCs w:val="18"/>
          <w:b w:val="1"/>
          <w:bCs w:val="1"/>
          <w:color w:val="231F20"/>
        </w:rPr>
      </w:pPr>
    </w:p>
    <w:p>
      <w:pPr>
        <w:spacing w:after="0" w:line="332" w:lineRule="exact"/>
        <w:rPr>
          <w:rFonts w:ascii="Times New Roman" w:cs="Times New Roman" w:eastAsia="Times New Roman" w:hAnsi="Times New Roman"/>
          <w:sz w:val="18"/>
          <w:szCs w:val="18"/>
          <w:b w:val="1"/>
          <w:bCs w:val="1"/>
          <w:color w:val="231F20"/>
        </w:rPr>
      </w:pPr>
    </w:p>
    <w:p>
      <w:pPr>
        <w:ind w:left="660" w:right="6200"/>
        <w:spacing w:after="0" w:line="282" w:lineRule="auto"/>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Mainland China Others</w:t>
      </w:r>
    </w:p>
    <w:p>
      <w:pPr>
        <w:spacing w:after="0" w:line="198" w:lineRule="exact"/>
        <w:rPr>
          <w:rFonts w:ascii="Times New Roman" w:cs="Times New Roman" w:eastAsia="Times New Roman" w:hAnsi="Times New Roman"/>
          <w:sz w:val="18"/>
          <w:szCs w:val="18"/>
          <w:b w:val="1"/>
          <w:bCs w:val="1"/>
          <w:color w:val="231F20"/>
        </w:rPr>
      </w:pPr>
    </w:p>
    <w:p>
      <w:pPr>
        <w:ind w:left="660"/>
        <w:spacing w:after="0"/>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Total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-4599940</wp:posOffset>
            </wp:positionV>
            <wp:extent cx="670369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03695" cy="13716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-4325620</wp:posOffset>
            </wp:positionV>
            <wp:extent cx="6703695"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03695" cy="13716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-4051300</wp:posOffset>
            </wp:positionV>
            <wp:extent cx="6703695"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03695" cy="13716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-3768725</wp:posOffset>
            </wp:positionV>
            <wp:extent cx="670369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03695" cy="17145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-2302510</wp:posOffset>
            </wp:positionV>
            <wp:extent cx="6703695"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03695" cy="13716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-2019935</wp:posOffset>
            </wp:positionV>
            <wp:extent cx="6703695"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03695" cy="17145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-553720</wp:posOffset>
            </wp:positionV>
            <wp:extent cx="6703695"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03695" cy="13716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-271145</wp:posOffset>
            </wp:positionV>
            <wp:extent cx="6703695"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03695" cy="15430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right"/>
        <w:ind w:right="230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231F20"/>
        </w:rPr>
        <w:t>Six Months Ended June 30,</w:t>
      </w:r>
    </w:p>
    <w:p>
      <w:pPr>
        <w:spacing w:after="0" w:line="3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231F20"/>
        </w:rPr>
        <w:t>(Amount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5715</wp:posOffset>
            </wp:positionV>
            <wp:extent cx="16116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ind w:left="220"/>
        <w:spacing w:after="0"/>
        <w:tabs>
          <w:tab w:leader="none" w:pos="1600" w:val="left"/>
        </w:tabs>
        <w:rPr>
          <w:sz w:val="20"/>
          <w:szCs w:val="20"/>
          <w:color w:val="auto"/>
        </w:rPr>
      </w:pPr>
      <w:r>
        <w:rPr>
          <w:rFonts w:ascii="Times New Roman" w:cs="Times New Roman" w:eastAsia="Times New Roman" w:hAnsi="Times New Roman"/>
          <w:sz w:val="18"/>
          <w:szCs w:val="18"/>
          <w:i w:val="1"/>
          <w:iCs w:val="1"/>
          <w:color w:val="231F20"/>
        </w:rPr>
        <w:t>2023</w:t>
      </w:r>
      <w:r>
        <w:rPr>
          <w:sz w:val="20"/>
          <w:szCs w:val="20"/>
          <w:color w:val="auto"/>
        </w:rPr>
        <w:tab/>
      </w:r>
      <w:r>
        <w:rPr>
          <w:rFonts w:ascii="Times New Roman" w:cs="Times New Roman" w:eastAsia="Times New Roman" w:hAnsi="Times New Roman"/>
          <w:sz w:val="18"/>
          <w:szCs w:val="18"/>
          <w:b w:val="1"/>
          <w:bCs w:val="1"/>
          <w:color w:val="231F20"/>
        </w:rPr>
        <w:t>2024</w:t>
      </w:r>
    </w:p>
    <w:p>
      <w:pPr>
        <w:spacing w:after="0" w:line="23" w:lineRule="exact"/>
        <w:rPr>
          <w:sz w:val="20"/>
          <w:szCs w:val="20"/>
          <w:color w:val="auto"/>
        </w:rPr>
      </w:pPr>
    </w:p>
    <w:p>
      <w:pPr>
        <w:ind w:left="240"/>
        <w:spacing w:after="0"/>
        <w:tabs>
          <w:tab w:leader="none" w:pos="1580" w:val="left"/>
        </w:tabs>
        <w:rPr>
          <w:sz w:val="20"/>
          <w:szCs w:val="20"/>
          <w:color w:val="auto"/>
        </w:rPr>
      </w:pPr>
      <w:r>
        <w:rPr>
          <w:rFonts w:ascii="Times New Roman" w:cs="Times New Roman" w:eastAsia="Times New Roman" w:hAnsi="Times New Roman"/>
          <w:sz w:val="18"/>
          <w:szCs w:val="18"/>
          <w:i w:val="1"/>
          <w:iCs w:val="1"/>
          <w:color w:val="231F20"/>
        </w:rPr>
        <w:t>RMB</w:t>
      </w:r>
      <w:r>
        <w:rPr>
          <w:sz w:val="20"/>
          <w:szCs w:val="20"/>
          <w:color w:val="auto"/>
        </w:rPr>
        <w:tab/>
      </w:r>
      <w:r>
        <w:rPr>
          <w:rFonts w:ascii="Times New Roman" w:cs="Times New Roman" w:eastAsia="Times New Roman" w:hAnsi="Times New Roman"/>
          <w:sz w:val="18"/>
          <w:szCs w:val="18"/>
          <w:b w:val="1"/>
          <w:bCs w:val="1"/>
          <w:i w:val="1"/>
          <w:iCs w:val="1"/>
          <w:color w:val="231F20"/>
        </w:rPr>
        <w:t>RMB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5715</wp:posOffset>
            </wp:positionV>
            <wp:extent cx="16116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spacing w:after="0"/>
        <w:tabs>
          <w:tab w:leader="none" w:pos="1320" w:val="left"/>
        </w:tabs>
        <w:rPr>
          <w:sz w:val="20"/>
          <w:szCs w:val="20"/>
          <w:color w:val="auto"/>
        </w:rPr>
      </w:pPr>
      <w:r>
        <w:rPr>
          <w:rFonts w:ascii="Times New Roman" w:cs="Times New Roman" w:eastAsia="Times New Roman" w:hAnsi="Times New Roman"/>
          <w:sz w:val="18"/>
          <w:szCs w:val="18"/>
          <w:color w:val="231F20"/>
        </w:rPr>
        <w:t>(Unaudited)</w:t>
      </w:r>
      <w:r>
        <w:rPr>
          <w:sz w:val="20"/>
          <w:szCs w:val="20"/>
          <w:color w:val="auto"/>
        </w:rPr>
        <w:tab/>
      </w:r>
      <w:r>
        <w:rPr>
          <w:rFonts w:ascii="Times New Roman" w:cs="Times New Roman" w:eastAsia="Times New Roman" w:hAnsi="Times New Roman"/>
          <w:sz w:val="18"/>
          <w:szCs w:val="18"/>
          <w:b w:val="1"/>
          <w:bCs w:val="1"/>
          <w:color w:val="231F20"/>
        </w:rPr>
        <w:t>(Unaudited)</w:t>
      </w:r>
    </w:p>
    <w:p>
      <w:pPr>
        <w:spacing w:after="0" w:line="23" w:lineRule="exact"/>
        <w:rPr>
          <w:sz w:val="20"/>
          <w:szCs w:val="20"/>
          <w:color w:val="auto"/>
        </w:rPr>
      </w:pPr>
    </w:p>
    <w:p>
      <w:pPr>
        <w:jc w:val="both"/>
        <w:ind w:left="440"/>
        <w:spacing w:after="0"/>
        <w:tabs>
          <w:tab w:leader="none" w:pos="1780" w:val="left"/>
        </w:tabs>
        <w:rPr>
          <w:sz w:val="20"/>
          <w:szCs w:val="20"/>
          <w:color w:val="auto"/>
        </w:rPr>
      </w:pPr>
      <w:r>
        <w:rPr>
          <w:rFonts w:ascii="Times New Roman" w:cs="Times New Roman" w:eastAsia="Times New Roman" w:hAnsi="Times New Roman"/>
          <w:sz w:val="18"/>
          <w:szCs w:val="18"/>
          <w:color w:val="231F20"/>
        </w:rPr>
        <w:t>581,970</w:t>
      </w:r>
      <w:r>
        <w:rPr>
          <w:sz w:val="20"/>
          <w:szCs w:val="20"/>
          <w:color w:val="auto"/>
        </w:rPr>
        <w:tab/>
      </w:r>
      <w:r>
        <w:rPr>
          <w:rFonts w:ascii="Times New Roman" w:cs="Times New Roman" w:eastAsia="Times New Roman" w:hAnsi="Times New Roman"/>
          <w:sz w:val="18"/>
          <w:szCs w:val="18"/>
          <w:b w:val="1"/>
          <w:bCs w:val="1"/>
          <w:color w:val="231F20"/>
        </w:rPr>
        <w:t>324,105</w:t>
      </w:r>
    </w:p>
    <w:p>
      <w:pPr>
        <w:spacing w:after="0" w:line="9" w:lineRule="exact"/>
        <w:rPr>
          <w:sz w:val="20"/>
          <w:szCs w:val="20"/>
          <w:color w:val="auto"/>
        </w:rPr>
      </w:pPr>
    </w:p>
    <w:p>
      <w:pPr>
        <w:jc w:val="both"/>
        <w:ind w:left="440"/>
        <w:spacing w:after="0"/>
        <w:tabs>
          <w:tab w:leader="none" w:pos="1780" w:val="left"/>
        </w:tabs>
        <w:rPr>
          <w:sz w:val="20"/>
          <w:szCs w:val="20"/>
          <w:color w:val="auto"/>
        </w:rPr>
      </w:pPr>
      <w:r>
        <w:rPr>
          <w:rFonts w:ascii="Times New Roman" w:cs="Times New Roman" w:eastAsia="Times New Roman" w:hAnsi="Times New Roman"/>
          <w:sz w:val="18"/>
          <w:szCs w:val="18"/>
          <w:color w:val="231F20"/>
        </w:rPr>
        <w:t>923,568</w:t>
      </w:r>
      <w:r>
        <w:rPr>
          <w:sz w:val="20"/>
          <w:szCs w:val="20"/>
          <w:color w:val="auto"/>
        </w:rPr>
        <w:tab/>
      </w:r>
      <w:r>
        <w:rPr>
          <w:rFonts w:ascii="Times New Roman" w:cs="Times New Roman" w:eastAsia="Times New Roman" w:hAnsi="Times New Roman"/>
          <w:sz w:val="18"/>
          <w:szCs w:val="18"/>
          <w:b w:val="1"/>
          <w:bCs w:val="1"/>
          <w:color w:val="231F20"/>
        </w:rPr>
        <w:t>823,528</w:t>
      </w:r>
    </w:p>
    <w:p>
      <w:pPr>
        <w:spacing w:after="0" w:line="9" w:lineRule="exact"/>
        <w:rPr>
          <w:sz w:val="20"/>
          <w:szCs w:val="20"/>
          <w:color w:val="auto"/>
        </w:rPr>
      </w:pPr>
    </w:p>
    <w:p>
      <w:pPr>
        <w:jc w:val="both"/>
        <w:ind w:left="440"/>
        <w:spacing w:after="0"/>
        <w:tabs>
          <w:tab w:leader="none" w:pos="1860" w:val="left"/>
        </w:tabs>
        <w:rPr>
          <w:sz w:val="20"/>
          <w:szCs w:val="20"/>
          <w:color w:val="auto"/>
        </w:rPr>
      </w:pPr>
      <w:r>
        <w:rPr>
          <w:rFonts w:ascii="Times New Roman" w:cs="Times New Roman" w:eastAsia="Times New Roman" w:hAnsi="Times New Roman"/>
          <w:sz w:val="18"/>
          <w:szCs w:val="18"/>
          <w:color w:val="231F20"/>
        </w:rPr>
        <w:t>111,718</w:t>
      </w:r>
      <w:r>
        <w:rPr>
          <w:sz w:val="20"/>
          <w:szCs w:val="20"/>
          <w:color w:val="auto"/>
        </w:rPr>
        <w:tab/>
      </w:r>
      <w:r>
        <w:rPr>
          <w:rFonts w:ascii="Times New Roman" w:cs="Times New Roman" w:eastAsia="Times New Roman" w:hAnsi="Times New Roman"/>
          <w:sz w:val="18"/>
          <w:szCs w:val="18"/>
          <w:b w:val="1"/>
          <w:bCs w:val="1"/>
          <w:color w:val="231F20"/>
        </w:rPr>
        <w:t>42,300</w:t>
      </w:r>
    </w:p>
    <w:p>
      <w:pPr>
        <w:spacing w:after="0" w:line="9" w:lineRule="exact"/>
        <w:rPr>
          <w:sz w:val="20"/>
          <w:szCs w:val="20"/>
          <w:color w:val="auto"/>
        </w:rPr>
      </w:pPr>
    </w:p>
    <w:p>
      <w:pPr>
        <w:jc w:val="both"/>
        <w:ind w:left="440"/>
        <w:spacing w:after="0"/>
        <w:tabs>
          <w:tab w:leader="none" w:pos="1860" w:val="left"/>
        </w:tabs>
        <w:rPr>
          <w:sz w:val="20"/>
          <w:szCs w:val="20"/>
          <w:color w:val="auto"/>
        </w:rPr>
      </w:pPr>
      <w:r>
        <w:rPr>
          <w:rFonts w:ascii="Times New Roman" w:cs="Times New Roman" w:eastAsia="Times New Roman" w:hAnsi="Times New Roman"/>
          <w:sz w:val="18"/>
          <w:szCs w:val="18"/>
          <w:color w:val="231F20"/>
        </w:rPr>
        <w:t>136,980</w:t>
      </w:r>
      <w:r>
        <w:rPr>
          <w:sz w:val="20"/>
          <w:szCs w:val="20"/>
          <w:color w:val="auto"/>
        </w:rPr>
        <w:tab/>
      </w:r>
      <w:r>
        <w:rPr>
          <w:rFonts w:ascii="Times New Roman" w:cs="Times New Roman" w:eastAsia="Times New Roman" w:hAnsi="Times New Roman"/>
          <w:sz w:val="18"/>
          <w:szCs w:val="18"/>
          <w:b w:val="1"/>
          <w:bCs w:val="1"/>
          <w:color w:val="231F20"/>
        </w:rPr>
        <w:t>84,910</w:t>
      </w:r>
    </w:p>
    <w:p>
      <w:pPr>
        <w:spacing w:after="0" w:line="9" w:lineRule="exact"/>
        <w:rPr>
          <w:sz w:val="20"/>
          <w:szCs w:val="20"/>
          <w:color w:val="auto"/>
        </w:rPr>
      </w:pPr>
    </w:p>
    <w:p>
      <w:pPr>
        <w:jc w:val="both"/>
        <w:ind w:left="520"/>
        <w:spacing w:after="0"/>
        <w:tabs>
          <w:tab w:leader="none" w:pos="1960" w:val="left"/>
        </w:tabs>
        <w:rPr>
          <w:sz w:val="20"/>
          <w:szCs w:val="20"/>
          <w:color w:val="auto"/>
        </w:rPr>
      </w:pPr>
      <w:r>
        <w:rPr>
          <w:rFonts w:ascii="Times New Roman" w:cs="Times New Roman" w:eastAsia="Times New Roman" w:hAnsi="Times New Roman"/>
          <w:sz w:val="18"/>
          <w:szCs w:val="18"/>
          <w:color w:val="231F20"/>
        </w:rPr>
        <w:t>11,292</w:t>
      </w:r>
      <w:r>
        <w:rPr>
          <w:sz w:val="20"/>
          <w:szCs w:val="20"/>
          <w:color w:val="auto"/>
        </w:rPr>
        <w:tab/>
      </w:r>
      <w:r>
        <w:rPr>
          <w:rFonts w:ascii="Times New Roman" w:cs="Times New Roman" w:eastAsia="Times New Roman" w:hAnsi="Times New Roman"/>
          <w:sz w:val="18"/>
          <w:szCs w:val="18"/>
          <w:b w:val="1"/>
          <w:bCs w:val="1"/>
          <w:color w:val="231F20"/>
        </w:rPr>
        <w:t>2,656</w:t>
      </w:r>
    </w:p>
    <w:p>
      <w:pPr>
        <w:spacing w:after="0" w:line="9" w:lineRule="exact"/>
        <w:rPr>
          <w:sz w:val="20"/>
          <w:szCs w:val="20"/>
          <w:color w:val="auto"/>
        </w:rPr>
      </w:pPr>
    </w:p>
    <w:p>
      <w:pPr>
        <w:jc w:val="both"/>
        <w:ind w:left="440"/>
        <w:spacing w:after="0"/>
        <w:tabs>
          <w:tab w:leader="none" w:pos="1860" w:val="left"/>
        </w:tabs>
        <w:rPr>
          <w:sz w:val="20"/>
          <w:szCs w:val="20"/>
          <w:color w:val="auto"/>
        </w:rPr>
      </w:pPr>
      <w:r>
        <w:rPr>
          <w:rFonts w:ascii="Times New Roman" w:cs="Times New Roman" w:eastAsia="Times New Roman" w:hAnsi="Times New Roman"/>
          <w:sz w:val="18"/>
          <w:szCs w:val="18"/>
          <w:color w:val="231F20"/>
        </w:rPr>
        <w:t>125,688</w:t>
      </w:r>
      <w:r>
        <w:rPr>
          <w:sz w:val="20"/>
          <w:szCs w:val="20"/>
          <w:color w:val="auto"/>
        </w:rPr>
        <w:tab/>
      </w:r>
      <w:r>
        <w:rPr>
          <w:rFonts w:ascii="Times New Roman" w:cs="Times New Roman" w:eastAsia="Times New Roman" w:hAnsi="Times New Roman"/>
          <w:sz w:val="18"/>
          <w:szCs w:val="18"/>
          <w:b w:val="1"/>
          <w:bCs w:val="1"/>
          <w:color w:val="231F20"/>
        </w:rPr>
        <w:t>82,254</w:t>
      </w:r>
    </w:p>
    <w:p>
      <w:pPr>
        <w:spacing w:after="0" w:line="297" w:lineRule="exact"/>
        <w:rPr>
          <w:sz w:val="20"/>
          <w:szCs w:val="20"/>
          <w:color w:val="auto"/>
        </w:rPr>
      </w:pPr>
    </w:p>
    <w:p>
      <w:pPr>
        <w:jc w:val="both"/>
        <w:ind w:left="300"/>
        <w:spacing w:after="0"/>
        <w:tabs>
          <w:tab w:leader="none" w:pos="1640" w:val="left"/>
        </w:tabs>
        <w:rPr>
          <w:sz w:val="20"/>
          <w:szCs w:val="20"/>
          <w:color w:val="auto"/>
        </w:rPr>
      </w:pPr>
      <w:r>
        <w:rPr>
          <w:rFonts w:ascii="Times New Roman" w:cs="Times New Roman" w:eastAsia="Times New Roman" w:hAnsi="Times New Roman"/>
          <w:sz w:val="18"/>
          <w:szCs w:val="18"/>
          <w:color w:val="231F20"/>
        </w:rPr>
        <w:t>1,754,236</w:t>
      </w:r>
      <w:r>
        <w:rPr>
          <w:sz w:val="20"/>
          <w:szCs w:val="20"/>
          <w:color w:val="auto"/>
        </w:rPr>
        <w:tab/>
      </w:r>
      <w:r>
        <w:rPr>
          <w:rFonts w:ascii="Times New Roman" w:cs="Times New Roman" w:eastAsia="Times New Roman" w:hAnsi="Times New Roman"/>
          <w:sz w:val="18"/>
          <w:szCs w:val="18"/>
          <w:b w:val="1"/>
          <w:bCs w:val="1"/>
          <w:color w:val="231F20"/>
        </w:rPr>
        <w:t>1,274,843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19685</wp:posOffset>
            </wp:positionV>
            <wp:extent cx="161163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61163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231F20"/>
        </w:rPr>
        <w:t>Six Months Ended June 30,</w:t>
      </w:r>
    </w:p>
    <w:p>
      <w:pPr>
        <w:spacing w:after="0" w:line="3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231F20"/>
        </w:rPr>
        <w:t>(Amount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5715</wp:posOffset>
            </wp:positionV>
            <wp:extent cx="16116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ind w:left="220"/>
        <w:spacing w:after="0"/>
        <w:tabs>
          <w:tab w:leader="none" w:pos="1600" w:val="left"/>
        </w:tabs>
        <w:rPr>
          <w:sz w:val="20"/>
          <w:szCs w:val="20"/>
          <w:color w:val="auto"/>
        </w:rPr>
      </w:pPr>
      <w:r>
        <w:rPr>
          <w:rFonts w:ascii="Times New Roman" w:cs="Times New Roman" w:eastAsia="Times New Roman" w:hAnsi="Times New Roman"/>
          <w:sz w:val="18"/>
          <w:szCs w:val="18"/>
          <w:i w:val="1"/>
          <w:iCs w:val="1"/>
          <w:color w:val="231F20"/>
        </w:rPr>
        <w:t>2023</w:t>
      </w:r>
      <w:r>
        <w:rPr>
          <w:sz w:val="20"/>
          <w:szCs w:val="20"/>
          <w:color w:val="auto"/>
        </w:rPr>
        <w:tab/>
      </w:r>
      <w:r>
        <w:rPr>
          <w:rFonts w:ascii="Times New Roman" w:cs="Times New Roman" w:eastAsia="Times New Roman" w:hAnsi="Times New Roman"/>
          <w:sz w:val="18"/>
          <w:szCs w:val="18"/>
          <w:b w:val="1"/>
          <w:bCs w:val="1"/>
          <w:color w:val="231F20"/>
        </w:rPr>
        <w:t>2024</w:t>
      </w:r>
    </w:p>
    <w:p>
      <w:pPr>
        <w:spacing w:after="0" w:line="23" w:lineRule="exact"/>
        <w:rPr>
          <w:sz w:val="20"/>
          <w:szCs w:val="20"/>
          <w:color w:val="auto"/>
        </w:rPr>
      </w:pPr>
    </w:p>
    <w:p>
      <w:pPr>
        <w:ind w:left="240"/>
        <w:spacing w:after="0"/>
        <w:tabs>
          <w:tab w:leader="none" w:pos="1580" w:val="left"/>
        </w:tabs>
        <w:rPr>
          <w:sz w:val="20"/>
          <w:szCs w:val="20"/>
          <w:color w:val="auto"/>
        </w:rPr>
      </w:pPr>
      <w:r>
        <w:rPr>
          <w:rFonts w:ascii="Times New Roman" w:cs="Times New Roman" w:eastAsia="Times New Roman" w:hAnsi="Times New Roman"/>
          <w:sz w:val="18"/>
          <w:szCs w:val="18"/>
          <w:i w:val="1"/>
          <w:iCs w:val="1"/>
          <w:color w:val="231F20"/>
        </w:rPr>
        <w:t>RMB</w:t>
      </w:r>
      <w:r>
        <w:rPr>
          <w:sz w:val="20"/>
          <w:szCs w:val="20"/>
          <w:color w:val="auto"/>
        </w:rPr>
        <w:tab/>
      </w:r>
      <w:r>
        <w:rPr>
          <w:rFonts w:ascii="Times New Roman" w:cs="Times New Roman" w:eastAsia="Times New Roman" w:hAnsi="Times New Roman"/>
          <w:sz w:val="18"/>
          <w:szCs w:val="18"/>
          <w:b w:val="1"/>
          <w:bCs w:val="1"/>
          <w:i w:val="1"/>
          <w:iCs w:val="1"/>
          <w:color w:val="231F20"/>
        </w:rPr>
        <w:t>RMB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5715</wp:posOffset>
            </wp:positionV>
            <wp:extent cx="16116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tabs>
          <w:tab w:leader="none" w:pos="1320" w:val="left"/>
        </w:tabs>
        <w:rPr>
          <w:sz w:val="20"/>
          <w:szCs w:val="20"/>
          <w:color w:val="auto"/>
        </w:rPr>
      </w:pPr>
      <w:r>
        <w:rPr>
          <w:rFonts w:ascii="Times New Roman" w:cs="Times New Roman" w:eastAsia="Times New Roman" w:hAnsi="Times New Roman"/>
          <w:sz w:val="18"/>
          <w:szCs w:val="18"/>
          <w:color w:val="231F20"/>
        </w:rPr>
        <w:t>(Unaudited)</w:t>
      </w:r>
      <w:r>
        <w:rPr>
          <w:sz w:val="20"/>
          <w:szCs w:val="20"/>
          <w:color w:val="auto"/>
        </w:rPr>
        <w:tab/>
      </w:r>
      <w:r>
        <w:rPr>
          <w:rFonts w:ascii="Times New Roman" w:cs="Times New Roman" w:eastAsia="Times New Roman" w:hAnsi="Times New Roman"/>
          <w:sz w:val="18"/>
          <w:szCs w:val="18"/>
          <w:b w:val="1"/>
          <w:bCs w:val="1"/>
          <w:color w:val="231F20"/>
        </w:rPr>
        <w:t>(Unaudited)</w:t>
      </w:r>
    </w:p>
    <w:p>
      <w:pPr>
        <w:spacing w:after="0" w:line="23" w:lineRule="exact"/>
        <w:rPr>
          <w:sz w:val="20"/>
          <w:szCs w:val="20"/>
          <w:color w:val="auto"/>
        </w:rPr>
      </w:pPr>
    </w:p>
    <w:p>
      <w:pPr>
        <w:jc w:val="both"/>
        <w:ind w:left="440"/>
        <w:spacing w:after="0"/>
        <w:tabs>
          <w:tab w:leader="none" w:pos="1780" w:val="left"/>
        </w:tabs>
        <w:rPr>
          <w:sz w:val="20"/>
          <w:szCs w:val="20"/>
          <w:color w:val="auto"/>
        </w:rPr>
      </w:pPr>
      <w:r>
        <w:rPr>
          <w:rFonts w:ascii="Times New Roman" w:cs="Times New Roman" w:eastAsia="Times New Roman" w:hAnsi="Times New Roman"/>
          <w:sz w:val="18"/>
          <w:szCs w:val="18"/>
          <w:color w:val="231F20"/>
        </w:rPr>
        <w:t>801,798</w:t>
      </w:r>
      <w:r>
        <w:rPr>
          <w:sz w:val="20"/>
          <w:szCs w:val="20"/>
          <w:color w:val="auto"/>
        </w:rPr>
        <w:tab/>
      </w:r>
      <w:r>
        <w:rPr>
          <w:rFonts w:ascii="Times New Roman" w:cs="Times New Roman" w:eastAsia="Times New Roman" w:hAnsi="Times New Roman"/>
          <w:sz w:val="18"/>
          <w:szCs w:val="18"/>
          <w:b w:val="1"/>
          <w:bCs w:val="1"/>
          <w:color w:val="231F20"/>
        </w:rPr>
        <w:t>435,683</w:t>
      </w:r>
    </w:p>
    <w:p>
      <w:pPr>
        <w:spacing w:after="0" w:line="9" w:lineRule="exact"/>
        <w:rPr>
          <w:sz w:val="20"/>
          <w:szCs w:val="20"/>
          <w:color w:val="auto"/>
        </w:rPr>
      </w:pPr>
    </w:p>
    <w:p>
      <w:pPr>
        <w:jc w:val="both"/>
        <w:ind w:left="440"/>
        <w:spacing w:after="0"/>
        <w:tabs>
          <w:tab w:leader="none" w:pos="1780" w:val="left"/>
        </w:tabs>
        <w:rPr>
          <w:sz w:val="20"/>
          <w:szCs w:val="20"/>
          <w:color w:val="auto"/>
        </w:rPr>
      </w:pPr>
      <w:r>
        <w:rPr>
          <w:rFonts w:ascii="Times New Roman" w:cs="Times New Roman" w:eastAsia="Times New Roman" w:hAnsi="Times New Roman"/>
          <w:sz w:val="18"/>
          <w:szCs w:val="18"/>
          <w:color w:val="231F20"/>
        </w:rPr>
        <w:t>952,438</w:t>
      </w:r>
      <w:r>
        <w:rPr>
          <w:sz w:val="20"/>
          <w:szCs w:val="20"/>
          <w:color w:val="auto"/>
        </w:rPr>
        <w:tab/>
      </w:r>
      <w:r>
        <w:rPr>
          <w:rFonts w:ascii="Times New Roman" w:cs="Times New Roman" w:eastAsia="Times New Roman" w:hAnsi="Times New Roman"/>
          <w:sz w:val="18"/>
          <w:szCs w:val="18"/>
          <w:b w:val="1"/>
          <w:bCs w:val="1"/>
          <w:color w:val="231F20"/>
        </w:rPr>
        <w:t>839,160</w:t>
      </w:r>
    </w:p>
    <w:p>
      <w:pPr>
        <w:spacing w:after="0" w:line="297" w:lineRule="exact"/>
        <w:rPr>
          <w:sz w:val="20"/>
          <w:szCs w:val="20"/>
          <w:color w:val="auto"/>
        </w:rPr>
      </w:pPr>
    </w:p>
    <w:p>
      <w:pPr>
        <w:jc w:val="both"/>
        <w:ind w:left="300"/>
        <w:spacing w:after="0"/>
        <w:tabs>
          <w:tab w:leader="none" w:pos="1640" w:val="left"/>
        </w:tabs>
        <w:rPr>
          <w:sz w:val="20"/>
          <w:szCs w:val="20"/>
          <w:color w:val="auto"/>
        </w:rPr>
      </w:pPr>
      <w:r>
        <w:rPr>
          <w:rFonts w:ascii="Times New Roman" w:cs="Times New Roman" w:eastAsia="Times New Roman" w:hAnsi="Times New Roman"/>
          <w:sz w:val="18"/>
          <w:szCs w:val="18"/>
          <w:color w:val="231F20"/>
        </w:rPr>
        <w:t>1,754,236</w:t>
      </w:r>
      <w:r>
        <w:rPr>
          <w:sz w:val="20"/>
          <w:szCs w:val="20"/>
          <w:color w:val="auto"/>
        </w:rPr>
        <w:tab/>
      </w:r>
      <w:r>
        <w:rPr>
          <w:rFonts w:ascii="Times New Roman" w:cs="Times New Roman" w:eastAsia="Times New Roman" w:hAnsi="Times New Roman"/>
          <w:sz w:val="18"/>
          <w:szCs w:val="18"/>
          <w:b w:val="1"/>
          <w:bCs w:val="1"/>
          <w:color w:val="231F20"/>
        </w:rPr>
        <w:t>1,274,843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19685</wp:posOffset>
            </wp:positionV>
            <wp:extent cx="161163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1163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231F20"/>
        </w:rPr>
        <w:t>Six Months Ended June 30,</w:t>
      </w:r>
    </w:p>
    <w:p>
      <w:pPr>
        <w:spacing w:after="0" w:line="3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231F20"/>
        </w:rPr>
        <w:t>(Amount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5715</wp:posOffset>
            </wp:positionV>
            <wp:extent cx="16116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ind w:left="220"/>
        <w:spacing w:after="0"/>
        <w:tabs>
          <w:tab w:leader="none" w:pos="1600" w:val="left"/>
        </w:tabs>
        <w:rPr>
          <w:sz w:val="20"/>
          <w:szCs w:val="20"/>
          <w:color w:val="auto"/>
        </w:rPr>
      </w:pPr>
      <w:r>
        <w:rPr>
          <w:rFonts w:ascii="Times New Roman" w:cs="Times New Roman" w:eastAsia="Times New Roman" w:hAnsi="Times New Roman"/>
          <w:sz w:val="18"/>
          <w:szCs w:val="18"/>
          <w:i w:val="1"/>
          <w:iCs w:val="1"/>
          <w:color w:val="231F20"/>
        </w:rPr>
        <w:t>2023</w:t>
      </w:r>
      <w:r>
        <w:rPr>
          <w:sz w:val="20"/>
          <w:szCs w:val="20"/>
          <w:color w:val="auto"/>
        </w:rPr>
        <w:tab/>
      </w:r>
      <w:r>
        <w:rPr>
          <w:rFonts w:ascii="Times New Roman" w:cs="Times New Roman" w:eastAsia="Times New Roman" w:hAnsi="Times New Roman"/>
          <w:sz w:val="18"/>
          <w:szCs w:val="18"/>
          <w:b w:val="1"/>
          <w:bCs w:val="1"/>
          <w:color w:val="231F20"/>
        </w:rPr>
        <w:t>2024</w:t>
      </w:r>
    </w:p>
    <w:p>
      <w:pPr>
        <w:spacing w:after="0" w:line="23" w:lineRule="exact"/>
        <w:rPr>
          <w:sz w:val="20"/>
          <w:szCs w:val="20"/>
          <w:color w:val="auto"/>
        </w:rPr>
      </w:pPr>
    </w:p>
    <w:p>
      <w:pPr>
        <w:ind w:left="240"/>
        <w:spacing w:after="0"/>
        <w:tabs>
          <w:tab w:leader="none" w:pos="1580" w:val="left"/>
        </w:tabs>
        <w:rPr>
          <w:sz w:val="20"/>
          <w:szCs w:val="20"/>
          <w:color w:val="auto"/>
        </w:rPr>
      </w:pPr>
      <w:r>
        <w:rPr>
          <w:rFonts w:ascii="Times New Roman" w:cs="Times New Roman" w:eastAsia="Times New Roman" w:hAnsi="Times New Roman"/>
          <w:sz w:val="18"/>
          <w:szCs w:val="18"/>
          <w:i w:val="1"/>
          <w:iCs w:val="1"/>
          <w:color w:val="231F20"/>
        </w:rPr>
        <w:t>RMB</w:t>
      </w:r>
      <w:r>
        <w:rPr>
          <w:sz w:val="20"/>
          <w:szCs w:val="20"/>
          <w:color w:val="auto"/>
        </w:rPr>
        <w:tab/>
      </w:r>
      <w:r>
        <w:rPr>
          <w:rFonts w:ascii="Times New Roman" w:cs="Times New Roman" w:eastAsia="Times New Roman" w:hAnsi="Times New Roman"/>
          <w:sz w:val="18"/>
          <w:szCs w:val="18"/>
          <w:b w:val="1"/>
          <w:bCs w:val="1"/>
          <w:i w:val="1"/>
          <w:iCs w:val="1"/>
          <w:color w:val="231F20"/>
        </w:rPr>
        <w:t>RMB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5715</wp:posOffset>
            </wp:positionV>
            <wp:extent cx="16116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spacing w:after="0"/>
        <w:tabs>
          <w:tab w:leader="none" w:pos="1320" w:val="left"/>
        </w:tabs>
        <w:rPr>
          <w:sz w:val="20"/>
          <w:szCs w:val="20"/>
          <w:color w:val="auto"/>
        </w:rPr>
      </w:pPr>
      <w:r>
        <w:rPr>
          <w:rFonts w:ascii="Times New Roman" w:cs="Times New Roman" w:eastAsia="Times New Roman" w:hAnsi="Times New Roman"/>
          <w:sz w:val="18"/>
          <w:szCs w:val="18"/>
          <w:color w:val="231F20"/>
        </w:rPr>
        <w:t>(Unaudited)</w:t>
      </w:r>
      <w:r>
        <w:rPr>
          <w:sz w:val="20"/>
          <w:szCs w:val="20"/>
          <w:color w:val="auto"/>
        </w:rPr>
        <w:tab/>
      </w:r>
      <w:r>
        <w:rPr>
          <w:rFonts w:ascii="Times New Roman" w:cs="Times New Roman" w:eastAsia="Times New Roman" w:hAnsi="Times New Roman"/>
          <w:sz w:val="18"/>
          <w:szCs w:val="18"/>
          <w:b w:val="1"/>
          <w:bCs w:val="1"/>
          <w:color w:val="231F20"/>
        </w:rPr>
        <w:t>(Unaudited)</w:t>
      </w:r>
    </w:p>
    <w:p>
      <w:pPr>
        <w:spacing w:after="0" w:line="23" w:lineRule="exact"/>
        <w:rPr>
          <w:sz w:val="20"/>
          <w:szCs w:val="20"/>
          <w:color w:val="auto"/>
        </w:rPr>
      </w:pPr>
    </w:p>
    <w:p>
      <w:pPr>
        <w:jc w:val="both"/>
        <w:ind w:left="300"/>
        <w:spacing w:after="0"/>
        <w:tabs>
          <w:tab w:leader="none" w:pos="1780" w:val="left"/>
        </w:tabs>
        <w:rPr>
          <w:sz w:val="20"/>
          <w:szCs w:val="20"/>
          <w:color w:val="auto"/>
        </w:rPr>
      </w:pPr>
      <w:r>
        <w:rPr>
          <w:rFonts w:ascii="Times New Roman" w:cs="Times New Roman" w:eastAsia="Times New Roman" w:hAnsi="Times New Roman"/>
          <w:sz w:val="18"/>
          <w:szCs w:val="18"/>
          <w:color w:val="231F20"/>
        </w:rPr>
        <w:t>1,039,337</w:t>
      </w:r>
      <w:r>
        <w:rPr>
          <w:sz w:val="20"/>
          <w:szCs w:val="20"/>
          <w:color w:val="auto"/>
        </w:rPr>
        <w:tab/>
      </w:r>
      <w:r>
        <w:rPr>
          <w:rFonts w:ascii="Times New Roman" w:cs="Times New Roman" w:eastAsia="Times New Roman" w:hAnsi="Times New Roman"/>
          <w:sz w:val="18"/>
          <w:szCs w:val="18"/>
          <w:b w:val="1"/>
          <w:bCs w:val="1"/>
          <w:color w:val="231F20"/>
        </w:rPr>
        <w:t>689,454</w:t>
      </w:r>
    </w:p>
    <w:p>
      <w:pPr>
        <w:spacing w:after="0" w:line="9" w:lineRule="exact"/>
        <w:rPr>
          <w:sz w:val="20"/>
          <w:szCs w:val="20"/>
          <w:color w:val="auto"/>
        </w:rPr>
      </w:pPr>
    </w:p>
    <w:p>
      <w:pPr>
        <w:jc w:val="both"/>
        <w:ind w:left="440"/>
        <w:spacing w:after="0"/>
        <w:tabs>
          <w:tab w:leader="none" w:pos="1780" w:val="left"/>
        </w:tabs>
        <w:rPr>
          <w:sz w:val="20"/>
          <w:szCs w:val="20"/>
          <w:color w:val="auto"/>
        </w:rPr>
      </w:pPr>
      <w:r>
        <w:rPr>
          <w:rFonts w:ascii="Times New Roman" w:cs="Times New Roman" w:eastAsia="Times New Roman" w:hAnsi="Times New Roman"/>
          <w:sz w:val="18"/>
          <w:szCs w:val="18"/>
          <w:color w:val="231F20"/>
        </w:rPr>
        <w:t>714,899</w:t>
      </w:r>
      <w:r>
        <w:rPr>
          <w:sz w:val="20"/>
          <w:szCs w:val="20"/>
          <w:color w:val="auto"/>
        </w:rPr>
        <w:tab/>
      </w:r>
      <w:r>
        <w:rPr>
          <w:rFonts w:ascii="Times New Roman" w:cs="Times New Roman" w:eastAsia="Times New Roman" w:hAnsi="Times New Roman"/>
          <w:sz w:val="18"/>
          <w:szCs w:val="18"/>
          <w:b w:val="1"/>
          <w:bCs w:val="1"/>
          <w:color w:val="231F20"/>
        </w:rPr>
        <w:t>585,389</w:t>
      </w:r>
    </w:p>
    <w:p>
      <w:pPr>
        <w:spacing w:after="0" w:line="270" w:lineRule="exact"/>
        <w:rPr>
          <w:sz w:val="20"/>
          <w:szCs w:val="20"/>
          <w:color w:val="auto"/>
        </w:rPr>
      </w:pPr>
    </w:p>
    <w:p>
      <w:pPr>
        <w:jc w:val="both"/>
        <w:ind w:left="300"/>
        <w:spacing w:after="0"/>
        <w:tabs>
          <w:tab w:leader="none" w:pos="1640" w:val="left"/>
        </w:tabs>
        <w:rPr>
          <w:sz w:val="20"/>
          <w:szCs w:val="20"/>
          <w:color w:val="auto"/>
        </w:rPr>
      </w:pPr>
      <w:r>
        <w:rPr>
          <w:rFonts w:ascii="Times New Roman" w:cs="Times New Roman" w:eastAsia="Times New Roman" w:hAnsi="Times New Roman"/>
          <w:sz w:val="18"/>
          <w:szCs w:val="18"/>
          <w:color w:val="231F20"/>
        </w:rPr>
        <w:t>1,754,236</w:t>
      </w:r>
      <w:r>
        <w:rPr>
          <w:sz w:val="20"/>
          <w:szCs w:val="20"/>
          <w:color w:val="auto"/>
        </w:rPr>
        <w:tab/>
      </w:r>
      <w:r>
        <w:rPr>
          <w:rFonts w:ascii="Times New Roman" w:cs="Times New Roman" w:eastAsia="Times New Roman" w:hAnsi="Times New Roman"/>
          <w:sz w:val="18"/>
          <w:szCs w:val="18"/>
          <w:b w:val="1"/>
          <w:bCs w:val="1"/>
          <w:color w:val="231F20"/>
        </w:rPr>
        <w:t>1,274,843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19685</wp:posOffset>
            </wp:positionV>
            <wp:extent cx="161163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11630" cy="26035"/>
                    </a:xfrm>
                    <a:prstGeom prst="rect">
                      <a:avLst/>
                    </a:prstGeom>
                    <a:noFill/>
                  </pic:spPr>
                </pic:pic>
              </a:graphicData>
            </a:graphic>
          </wp:anchor>
        </w:drawing>
      </w:r>
    </w:p>
    <w:p>
      <w:pPr>
        <w:sectPr>
          <w:pgSz w:w="11900" w:h="16838" w:orient="portrait"/>
          <w:cols w:equalWidth="0" w:num="2">
            <w:col w:w="8020" w:space="720"/>
            <w:col w:w="2380"/>
          </w:cols>
          <w:pgMar w:left="320" w:top="900" w:right="45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8"/>
        </w:trPr>
        <w:tc>
          <w:tcPr>
            <w:tcW w:w="6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231F20"/>
                <w:w w:val="88"/>
              </w:rPr>
              <w:t>3.</w:t>
            </w:r>
          </w:p>
        </w:tc>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Revenues (continued)</w:t>
            </w: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231F20"/>
              </w:rPr>
              <w:t>Revenues by product types is analyzed as follows:</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6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264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231F20"/>
              </w:rPr>
              <w:t>Six Months Ended June 30,</w:t>
            </w: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7920" w:type="dxa"/>
            <w:vAlign w:val="bottom"/>
          </w:tcPr>
          <w:p>
            <w:pPr>
              <w:spacing w:after="0"/>
              <w:rPr>
                <w:sz w:val="16"/>
                <w:szCs w:val="16"/>
                <w:color w:val="auto"/>
              </w:rPr>
            </w:pPr>
          </w:p>
        </w:tc>
        <w:tc>
          <w:tcPr>
            <w:tcW w:w="1180" w:type="dxa"/>
            <w:vAlign w:val="bottom"/>
            <w:tcBorders>
              <w:top w:val="single" w:sz="8" w:color="auto"/>
            </w:tcBorders>
          </w:tcPr>
          <w:p>
            <w:pPr>
              <w:jc w:val="right"/>
              <w:ind w:right="350"/>
              <w:spacing w:after="0" w:line="188" w:lineRule="exact"/>
              <w:rPr>
                <w:sz w:val="20"/>
                <w:szCs w:val="20"/>
                <w:color w:val="auto"/>
              </w:rPr>
            </w:pPr>
            <w:r>
              <w:rPr>
                <w:rFonts w:ascii="Times New Roman" w:cs="Times New Roman" w:eastAsia="Times New Roman" w:hAnsi="Times New Roman"/>
                <w:sz w:val="18"/>
                <w:szCs w:val="18"/>
                <w:color w:val="231F20"/>
              </w:rPr>
              <w:t>2023</w:t>
            </w: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231F20"/>
                <w:w w:val="99"/>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1400" w:type="dxa"/>
            <w:vAlign w:val="bottom"/>
            <w:gridSpan w:val="2"/>
          </w:tcPr>
          <w:p>
            <w:pPr>
              <w:ind w:left="400"/>
              <w:spacing w:after="0"/>
              <w:rPr>
                <w:sz w:val="20"/>
                <w:szCs w:val="20"/>
                <w:color w:val="auto"/>
              </w:rPr>
            </w:pPr>
            <w:r>
              <w:rPr>
                <w:rFonts w:ascii="Times New Roman" w:cs="Times New Roman" w:eastAsia="Times New Roman" w:hAnsi="Times New Roman"/>
                <w:sz w:val="18"/>
                <w:szCs w:val="18"/>
                <w:i w:val="1"/>
                <w:iCs w:val="1"/>
                <w:color w:val="231F20"/>
              </w:rPr>
              <w:t>RMB</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i w:val="1"/>
                <w:iCs w:val="1"/>
                <w:color w:val="231F20"/>
                <w:w w:val="99"/>
              </w:rPr>
              <w:t>RMB</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1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231F20"/>
              </w:rPr>
              <w:t>(Unaudited)</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Mainland China:</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60" w:type="dxa"/>
            <w:vAlign w:val="bottom"/>
          </w:tcPr>
          <w:p>
            <w:pPr>
              <w:spacing w:after="0"/>
              <w:rPr>
                <w:sz w:val="22"/>
                <w:szCs w:val="22"/>
                <w:color w:val="auto"/>
              </w:rPr>
            </w:pPr>
          </w:p>
        </w:tc>
        <w:tc>
          <w:tcPr>
            <w:tcW w:w="7920" w:type="dxa"/>
            <w:vAlign w:val="bottom"/>
          </w:tcPr>
          <w:p>
            <w:pPr>
              <w:ind w:left="160"/>
              <w:spacing w:after="0" w:line="256" w:lineRule="exact"/>
              <w:rPr>
                <w:sz w:val="20"/>
                <w:szCs w:val="20"/>
                <w:color w:val="auto"/>
              </w:rPr>
            </w:pPr>
            <w:r>
              <w:rPr>
                <w:rFonts w:ascii="Times New Roman" w:cs="Times New Roman" w:eastAsia="Times New Roman" w:hAnsi="Times New Roman"/>
                <w:sz w:val="18"/>
                <w:szCs w:val="18"/>
                <w:color w:val="231F20"/>
              </w:rPr>
              <w:t>Public securities products</w:t>
            </w:r>
            <w:r>
              <w:rPr>
                <w:rFonts w:ascii="Times New Roman" w:cs="Times New Roman" w:eastAsia="Times New Roman" w:hAnsi="Times New Roman"/>
                <w:sz w:val="29"/>
                <w:szCs w:val="29"/>
                <w:color w:val="231F20"/>
                <w:vertAlign w:val="superscript"/>
              </w:rPr>
              <w:t>1</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31F20"/>
              </w:rPr>
              <w:t>309,004</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237,891</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231F20"/>
              </w:rPr>
              <w:t>Private equity products</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451,208</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393,596</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Times New Roman" w:cs="Times New Roman" w:eastAsia="Times New Roman" w:hAnsi="Times New Roman"/>
                <w:sz w:val="18"/>
                <w:szCs w:val="18"/>
                <w:color w:val="231F20"/>
              </w:rPr>
              <w:t>Insurance products</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31F20"/>
              </w:rPr>
              <w:t>236,745</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30,616</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231F20"/>
              </w:rPr>
              <w:t>Others</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42,380</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27,351</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7920" w:type="dxa"/>
            <w:vAlign w:val="bottom"/>
          </w:tcPr>
          <w:p>
            <w:pPr>
              <w:ind w:left="160"/>
              <w:spacing w:after="0"/>
              <w:rPr>
                <w:sz w:val="20"/>
                <w:szCs w:val="20"/>
                <w:color w:val="auto"/>
              </w:rPr>
            </w:pPr>
            <w:r>
              <w:rPr>
                <w:rFonts w:ascii="Times New Roman" w:cs="Times New Roman" w:eastAsia="Times New Roman" w:hAnsi="Times New Roman"/>
                <w:sz w:val="18"/>
                <w:szCs w:val="18"/>
                <w:color w:val="231F20"/>
              </w:rPr>
              <w:t>Subtotal</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31F20"/>
              </w:rPr>
              <w:t>1,039,337</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689,454</w:t>
            </w: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79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Overseas:</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60" w:type="dxa"/>
            <w:vAlign w:val="bottom"/>
          </w:tcPr>
          <w:p>
            <w:pPr>
              <w:spacing w:after="0"/>
              <w:rPr>
                <w:sz w:val="22"/>
                <w:szCs w:val="22"/>
                <w:color w:val="auto"/>
              </w:rPr>
            </w:pPr>
          </w:p>
        </w:tc>
        <w:tc>
          <w:tcPr>
            <w:tcW w:w="7920" w:type="dxa"/>
            <w:vAlign w:val="bottom"/>
            <w:shd w:val="clear" w:color="auto" w:fill="CCEEFF"/>
          </w:tcPr>
          <w:p>
            <w:pPr>
              <w:ind w:left="160"/>
              <w:spacing w:after="0" w:line="256" w:lineRule="exact"/>
              <w:rPr>
                <w:sz w:val="20"/>
                <w:szCs w:val="20"/>
                <w:color w:val="auto"/>
              </w:rPr>
            </w:pPr>
            <w:r>
              <w:rPr>
                <w:rFonts w:ascii="Times New Roman" w:cs="Times New Roman" w:eastAsia="Times New Roman" w:hAnsi="Times New Roman"/>
                <w:sz w:val="18"/>
                <w:szCs w:val="18"/>
                <w:color w:val="231F20"/>
              </w:rPr>
              <w:t>Investment products</w:t>
            </w:r>
            <w:r>
              <w:rPr>
                <w:rFonts w:ascii="Times New Roman" w:cs="Times New Roman" w:eastAsia="Times New Roman" w:hAnsi="Times New Roman"/>
                <w:sz w:val="29"/>
                <w:szCs w:val="29"/>
                <w:color w:val="231F20"/>
                <w:vertAlign w:val="superscript"/>
              </w:rPr>
              <w:t>2</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323,913</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266,757</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Times New Roman" w:cs="Times New Roman" w:eastAsia="Times New Roman" w:hAnsi="Times New Roman"/>
                <w:sz w:val="18"/>
                <w:szCs w:val="18"/>
                <w:color w:val="231F20"/>
              </w:rPr>
              <w:t>Insurance products</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31F20"/>
              </w:rPr>
              <w:t>292,623</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250,799</w:t>
            </w:r>
          </w:p>
        </w:tc>
        <w:tc>
          <w:tcPr>
            <w:tcW w:w="0" w:type="dxa"/>
            <w:vAlign w:val="bottom"/>
          </w:tcPr>
          <w:p>
            <w:pPr>
              <w:spacing w:after="0"/>
              <w:rPr>
                <w:sz w:val="1"/>
                <w:szCs w:val="1"/>
                <w:color w:val="auto"/>
              </w:rPr>
            </w:pPr>
          </w:p>
        </w:tc>
      </w:tr>
      <w:tr>
        <w:trPr>
          <w:trHeight w:val="257"/>
        </w:trPr>
        <w:tc>
          <w:tcPr>
            <w:tcW w:w="660" w:type="dxa"/>
            <w:vAlign w:val="bottom"/>
          </w:tcPr>
          <w:p>
            <w:pPr>
              <w:spacing w:after="0"/>
              <w:rPr>
                <w:sz w:val="22"/>
                <w:szCs w:val="22"/>
                <w:color w:val="auto"/>
              </w:rPr>
            </w:pPr>
          </w:p>
        </w:tc>
        <w:tc>
          <w:tcPr>
            <w:tcW w:w="7920" w:type="dxa"/>
            <w:vAlign w:val="bottom"/>
            <w:shd w:val="clear" w:color="auto" w:fill="CCEEFF"/>
          </w:tcPr>
          <w:p>
            <w:pPr>
              <w:ind w:left="160"/>
              <w:spacing w:after="0" w:line="256" w:lineRule="exact"/>
              <w:rPr>
                <w:sz w:val="20"/>
                <w:szCs w:val="20"/>
                <w:color w:val="auto"/>
              </w:rPr>
            </w:pPr>
            <w:r>
              <w:rPr>
                <w:rFonts w:ascii="Times New Roman" w:cs="Times New Roman" w:eastAsia="Times New Roman" w:hAnsi="Times New Roman"/>
                <w:sz w:val="18"/>
                <w:szCs w:val="18"/>
                <w:color w:val="231F20"/>
              </w:rPr>
              <w:t>Online business</w:t>
            </w:r>
            <w:r>
              <w:rPr>
                <w:rFonts w:ascii="Times New Roman" w:cs="Times New Roman" w:eastAsia="Times New Roman" w:hAnsi="Times New Roman"/>
                <w:sz w:val="29"/>
                <w:szCs w:val="29"/>
                <w:color w:val="231F20"/>
                <w:vertAlign w:val="superscript"/>
              </w:rPr>
              <w:t>3</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3,271</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12,385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Times New Roman" w:cs="Times New Roman" w:eastAsia="Times New Roman" w:hAnsi="Times New Roman"/>
                <w:sz w:val="18"/>
                <w:szCs w:val="18"/>
                <w:color w:val="231F20"/>
              </w:rPr>
              <w:t>Others</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31F20"/>
              </w:rPr>
              <w:t>95,092</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55,448</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7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231F20"/>
              </w:rPr>
              <w:t>Subtotal</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714,899</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585,389</w:t>
            </w: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7920" w:type="dxa"/>
            <w:vAlign w:val="bottom"/>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Total revenues</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1,754,236</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1,274,843</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9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231F20"/>
              </w:rPr>
              <w:t xml:space="preserve">Note 1:  </w:t>
            </w:r>
            <w:r>
              <w:rPr>
                <w:rFonts w:ascii="Times New Roman" w:cs="Times New Roman" w:eastAsia="Times New Roman" w:hAnsi="Times New Roman"/>
                <w:sz w:val="18"/>
                <w:szCs w:val="18"/>
                <w:color w:val="231F20"/>
              </w:rPr>
              <w:t>Includes mutual funds and private secondary products.</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60" w:type="dxa"/>
            <w:vAlign w:val="bottom"/>
          </w:tcPr>
          <w:p>
            <w:pPr>
              <w:spacing w:after="0"/>
              <w:rPr>
                <w:sz w:val="24"/>
                <w:szCs w:val="24"/>
                <w:color w:val="auto"/>
              </w:rPr>
            </w:pPr>
          </w:p>
        </w:tc>
        <w:tc>
          <w:tcPr>
            <w:tcW w:w="79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300" w:hanging="64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Note 2: </w:t>
      </w:r>
      <w:r>
        <w:rPr>
          <w:rFonts w:ascii="Times New Roman" w:cs="Times New Roman" w:eastAsia="Times New Roman" w:hAnsi="Times New Roman"/>
          <w:sz w:val="18"/>
          <w:szCs w:val="18"/>
          <w:color w:val="auto"/>
        </w:rPr>
        <w:t>Includes non-money market mutual fund products, discretionary products, private secondary products, private equity products, real estate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and private credit products.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Note 3: </w:t>
      </w:r>
      <w:r>
        <w:rPr>
          <w:rFonts w:ascii="Times New Roman" w:cs="Times New Roman" w:eastAsia="Times New Roman" w:hAnsi="Times New Roman"/>
          <w:sz w:val="18"/>
          <w:szCs w:val="18"/>
          <w:color w:val="auto"/>
        </w:rPr>
        <w:t>Includes money market mutual fund products, securities brokerage business.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ind w:left="660" w:right="9380" w:hanging="652"/>
        <w:spacing w:after="0" w:line="532" w:lineRule="auto"/>
        <w:tabs>
          <w:tab w:leader="none" w:pos="660" w:val="left"/>
        </w:tabs>
        <w:numPr>
          <w:ilvl w:val="0"/>
          <w:numId w:val="9"/>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 xml:space="preserve">Income Taxes </w:t>
      </w:r>
      <w:r>
        <w:rPr>
          <w:rFonts w:ascii="Times New Roman" w:cs="Times New Roman" w:eastAsia="Times New Roman" w:hAnsi="Times New Roman"/>
          <w:sz w:val="17"/>
          <w:szCs w:val="17"/>
          <w:b w:val="1"/>
          <w:bCs w:val="1"/>
          <w:i w:val="1"/>
          <w:iCs w:val="1"/>
          <w:color w:val="231F20"/>
        </w:rPr>
        <w:t>Cayman Islands</w:t>
      </w:r>
    </w:p>
    <w:p>
      <w:pPr>
        <w:spacing w:after="0" w:line="1" w:lineRule="exact"/>
        <w:rPr>
          <w:rFonts w:ascii="Times New Roman" w:cs="Times New Roman" w:eastAsia="Times New Roman" w:hAnsi="Times New Roman"/>
          <w:sz w:val="17"/>
          <w:szCs w:val="17"/>
          <w:b w:val="1"/>
          <w:bCs w:val="1"/>
          <w:color w:val="231F20"/>
        </w:rPr>
      </w:pPr>
    </w:p>
    <w:p>
      <w:pPr>
        <w:ind w:left="660"/>
        <w:spacing w:after="0" w:line="282" w:lineRule="auto"/>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8"/>
          <w:szCs w:val="18"/>
          <w:color w:val="231F20"/>
        </w:rPr>
        <w:t>Under the current laws of the Cayman Islands, the Company is not subject to tax on its income or capital gains. In addition, the Cayman Islands do not impose withholding tax on dividend payments.</w:t>
      </w:r>
    </w:p>
    <w:p>
      <w:pPr>
        <w:spacing w:after="0" w:line="157" w:lineRule="exact"/>
        <w:rPr>
          <w:rFonts w:ascii="Times New Roman" w:cs="Times New Roman" w:eastAsia="Times New Roman" w:hAnsi="Times New Roman"/>
          <w:sz w:val="17"/>
          <w:szCs w:val="17"/>
          <w:b w:val="1"/>
          <w:bCs w:val="1"/>
          <w:color w:val="231F20"/>
        </w:rPr>
      </w:pPr>
    </w:p>
    <w:p>
      <w:pPr>
        <w:ind w:left="660"/>
        <w:spacing w:after="0"/>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8"/>
          <w:szCs w:val="18"/>
          <w:b w:val="1"/>
          <w:bCs w:val="1"/>
          <w:i w:val="1"/>
          <w:iCs w:val="1"/>
          <w:color w:val="231F20"/>
        </w:rPr>
        <w:t>Hong Kong</w:t>
      </w:r>
    </w:p>
    <w:p>
      <w:pPr>
        <w:spacing w:after="0" w:line="229" w:lineRule="exact"/>
        <w:rPr>
          <w:rFonts w:ascii="Times New Roman" w:cs="Times New Roman" w:eastAsia="Times New Roman" w:hAnsi="Times New Roman"/>
          <w:sz w:val="17"/>
          <w:szCs w:val="17"/>
          <w:b w:val="1"/>
          <w:bCs w:val="1"/>
          <w:color w:val="231F20"/>
        </w:rPr>
      </w:pPr>
    </w:p>
    <w:p>
      <w:pPr>
        <w:jc w:val="both"/>
        <w:ind w:left="660"/>
        <w:spacing w:after="0" w:line="258" w:lineRule="auto"/>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8"/>
          <w:szCs w:val="18"/>
          <w:color w:val="231F20"/>
        </w:rPr>
        <w:t>Under the current Hong Kong Inland Revenue Ordinance, the first HK$2 million of profits earned by the Company’s subsidiaries incorporated in Hong Kong will be taxed at half the current tax rate (i.e. 8.25%) while the remaining profits will continue to be taxed at the existing 16.5% tax rate. The profits of group entities incorporated in Hong Kong not qualifying for the two-tiered profits tax rates regime will continue to be taxed at a flat rate of 16.5%. In addition, payments of dividends from Hong Kong subsidiaries to their shareholders are not subject to any Hong Kong withholding tax.</w:t>
      </w:r>
    </w:p>
    <w:p>
      <w:pPr>
        <w:spacing w:after="0" w:line="179" w:lineRule="exact"/>
        <w:rPr>
          <w:rFonts w:ascii="Times New Roman" w:cs="Times New Roman" w:eastAsia="Times New Roman" w:hAnsi="Times New Roman"/>
          <w:sz w:val="17"/>
          <w:szCs w:val="17"/>
          <w:b w:val="1"/>
          <w:bCs w:val="1"/>
          <w:color w:val="231F20"/>
        </w:rPr>
      </w:pPr>
    </w:p>
    <w:p>
      <w:pPr>
        <w:ind w:left="660"/>
        <w:spacing w:after="0"/>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8"/>
          <w:szCs w:val="18"/>
          <w:b w:val="1"/>
          <w:bCs w:val="1"/>
          <w:i w:val="1"/>
          <w:iCs w:val="1"/>
          <w:color w:val="231F20"/>
        </w:rPr>
        <w:t>PRC</w:t>
      </w:r>
    </w:p>
    <w:p>
      <w:pPr>
        <w:spacing w:after="0" w:line="225" w:lineRule="exact"/>
        <w:rPr>
          <w:rFonts w:ascii="Times New Roman" w:cs="Times New Roman" w:eastAsia="Times New Roman" w:hAnsi="Times New Roman"/>
          <w:sz w:val="17"/>
          <w:szCs w:val="17"/>
          <w:b w:val="1"/>
          <w:bCs w:val="1"/>
          <w:color w:val="231F20"/>
        </w:rPr>
      </w:pPr>
    </w:p>
    <w:p>
      <w:pPr>
        <w:jc w:val="both"/>
        <w:ind w:left="660"/>
        <w:spacing w:after="0" w:line="259" w:lineRule="auto"/>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8"/>
          <w:szCs w:val="18"/>
          <w:color w:val="231F20"/>
        </w:rPr>
        <w:t>Under the Law of the People’s Republic of China on Enterprise Income Tax (“</w:t>
      </w:r>
      <w:r>
        <w:rPr>
          <w:rFonts w:ascii="Times New Roman" w:cs="Times New Roman" w:eastAsia="Times New Roman" w:hAnsi="Times New Roman"/>
          <w:sz w:val="18"/>
          <w:szCs w:val="18"/>
          <w:b w:val="1"/>
          <w:bCs w:val="1"/>
          <w:color w:val="231F20"/>
        </w:rPr>
        <w:t>EIT Law</w:t>
      </w:r>
      <w:r>
        <w:rPr>
          <w:rFonts w:ascii="Times New Roman" w:cs="Times New Roman" w:eastAsia="Times New Roman" w:hAnsi="Times New Roman"/>
          <w:sz w:val="18"/>
          <w:szCs w:val="18"/>
          <w:color w:val="231F20"/>
        </w:rPr>
        <w:t>”), domestically-owned enterprises and foreign-invested enterprises (“</w:t>
      </w:r>
      <w:r>
        <w:rPr>
          <w:rFonts w:ascii="Times New Roman" w:cs="Times New Roman" w:eastAsia="Times New Roman" w:hAnsi="Times New Roman"/>
          <w:sz w:val="18"/>
          <w:szCs w:val="18"/>
          <w:b w:val="1"/>
          <w:bCs w:val="1"/>
          <w:color w:val="231F20"/>
        </w:rPr>
        <w:t>FIEs</w:t>
      </w:r>
      <w:r>
        <w:rPr>
          <w:rFonts w:ascii="Times New Roman" w:cs="Times New Roman" w:eastAsia="Times New Roman" w:hAnsi="Times New Roman"/>
          <w:sz w:val="18"/>
          <w:szCs w:val="18"/>
          <w:color w:val="231F20"/>
        </w:rPr>
        <w:t>”) are subject to a uniform tax rate of 25%. Zigong Noah Financial Service Co., Ltd. falls within the encouraged industries catalogue in Western China, which is eligible for preferential income tax rate of 15%. Shanghai Nuorong Information Technology Co., Ltd. obtained the approval for preferential income tax rate of 15% due to High and New Technology Enterprise in November 2022 and such preferential income tax rate will expire in November 2025.</w:t>
      </w:r>
    </w:p>
    <w:p>
      <w:pPr>
        <w:spacing w:after="0" w:line="183" w:lineRule="exact"/>
        <w:rPr>
          <w:rFonts w:ascii="Times New Roman" w:cs="Times New Roman" w:eastAsia="Times New Roman" w:hAnsi="Times New Roman"/>
          <w:sz w:val="17"/>
          <w:szCs w:val="17"/>
          <w:b w:val="1"/>
          <w:bCs w:val="1"/>
          <w:color w:val="231F20"/>
        </w:rPr>
      </w:pPr>
    </w:p>
    <w:p>
      <w:pPr>
        <w:ind w:left="660"/>
        <w:spacing w:after="0"/>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8"/>
          <w:szCs w:val="18"/>
          <w:color w:val="231F20"/>
        </w:rPr>
        <w:t>The tax expense comprises:</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7820" w:type="dxa"/>
            <w:vAlign w:val="bottom"/>
          </w:tcPr>
          <w:p>
            <w:pPr>
              <w:spacing w:after="0"/>
              <w:rPr>
                <w:sz w:val="20"/>
                <w:szCs w:val="20"/>
                <w:color w:val="auto"/>
              </w:rPr>
            </w:pPr>
          </w:p>
        </w:tc>
        <w:tc>
          <w:tcPr>
            <w:tcW w:w="274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b w:val="1"/>
                <w:bCs w:val="1"/>
                <w:color w:val="231F20"/>
              </w:rPr>
              <w:t>Six Months Ended June 30,</w:t>
            </w:r>
          </w:p>
        </w:tc>
      </w:tr>
      <w:tr>
        <w:trPr>
          <w:trHeight w:val="187"/>
        </w:trPr>
        <w:tc>
          <w:tcPr>
            <w:tcW w:w="7820" w:type="dxa"/>
            <w:vAlign w:val="bottom"/>
          </w:tcPr>
          <w:p>
            <w:pPr>
              <w:spacing w:after="0"/>
              <w:rPr>
                <w:sz w:val="16"/>
                <w:szCs w:val="16"/>
                <w:color w:val="auto"/>
              </w:rPr>
            </w:pPr>
          </w:p>
        </w:tc>
        <w:tc>
          <w:tcPr>
            <w:tcW w:w="11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231F20"/>
                <w:w w:val="99"/>
              </w:rPr>
              <w:t>2023</w:t>
            </w: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231F20"/>
                <w:w w:val="99"/>
              </w:rPr>
              <w:t>2024</w:t>
            </w:r>
          </w:p>
        </w:tc>
        <w:tc>
          <w:tcPr>
            <w:tcW w:w="200" w:type="dxa"/>
            <w:vAlign w:val="bottom"/>
          </w:tcPr>
          <w:p>
            <w:pPr>
              <w:spacing w:after="0"/>
              <w:rPr>
                <w:sz w:val="16"/>
                <w:szCs w:val="16"/>
                <w:color w:val="auto"/>
              </w:rPr>
            </w:pPr>
          </w:p>
        </w:tc>
      </w:tr>
      <w:tr>
        <w:trPr>
          <w:trHeight w:val="238"/>
        </w:trPr>
        <w:tc>
          <w:tcPr>
            <w:tcW w:w="782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i w:val="1"/>
                <w:iCs w:val="1"/>
                <w:color w:val="231F20"/>
              </w:rPr>
              <w:t>RMB</w:t>
            </w: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i w:val="1"/>
                <w:iCs w:val="1"/>
                <w:color w:val="231F20"/>
                <w:w w:val="99"/>
              </w:rPr>
              <w:t>RMB</w:t>
            </w:r>
          </w:p>
        </w:tc>
      </w:tr>
      <w:tr>
        <w:trPr>
          <w:trHeight w:val="210"/>
        </w:trPr>
        <w:tc>
          <w:tcPr>
            <w:tcW w:w="782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8"/>
              </w:rPr>
              <w:t>(Unaudited)</w:t>
            </w:r>
          </w:p>
        </w:tc>
        <w:tc>
          <w:tcPr>
            <w:tcW w:w="26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rPr>
              <w:t>(Unaudited)</w:t>
            </w:r>
          </w:p>
        </w:tc>
        <w:tc>
          <w:tcPr>
            <w:tcW w:w="20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Current Tax</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231F20"/>
              </w:rPr>
              <w:t>182,665</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231F20"/>
              </w:rPr>
              <w:t>69,177</w:t>
            </w:r>
          </w:p>
        </w:tc>
      </w:tr>
      <w:tr>
        <w:trPr>
          <w:trHeight w:val="23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231F20"/>
              </w:rPr>
              <w:t>Deferred Tax</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231F20"/>
              </w:rPr>
              <w:t>(22,872)</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231F20"/>
              </w:rPr>
              <w:t>13,766</w:t>
            </w:r>
          </w:p>
        </w:tc>
      </w:tr>
      <w:tr>
        <w:trPr>
          <w:trHeight w:val="250"/>
        </w:trPr>
        <w:tc>
          <w:tcPr>
            <w:tcW w:w="782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r>
      <w:tr>
        <w:trPr>
          <w:trHeight w:val="283"/>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231F20"/>
              </w:rPr>
              <w:t>Total</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231F20"/>
              </w:rPr>
              <w:t>159,793</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231F20"/>
              </w:rPr>
              <w:t>82,943</w:t>
            </w:r>
          </w:p>
        </w:tc>
      </w:tr>
      <w:tr>
        <w:trPr>
          <w:trHeight w:val="197"/>
        </w:trPr>
        <w:tc>
          <w:tcPr>
            <w:tcW w:w="78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38"/>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231F20"/>
              </w:rPr>
              <w:t>Effective income tax rate</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22.50%</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231F20"/>
              </w:rPr>
              <w:t>22.27%</w:t>
            </w:r>
          </w:p>
        </w:tc>
      </w:tr>
    </w:tbl>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For interim income tax reporting, the Group estimates its annual effective tax rate and applies it to its year-to- date ordinary income.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ind w:left="620" w:hanging="612"/>
        <w:spacing w:after="0"/>
        <w:tabs>
          <w:tab w:leader="none" w:pos="620" w:val="left"/>
        </w:tabs>
        <w:numPr>
          <w:ilvl w:val="0"/>
          <w:numId w:val="10"/>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Net Income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The following table sets forth the computation of basic and diluted net income per share attributable to ordinary shareholders: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7820" w:type="dxa"/>
            <w:vAlign w:val="bottom"/>
          </w:tcPr>
          <w:p>
            <w:pPr>
              <w:spacing w:after="0"/>
              <w:rPr>
                <w:sz w:val="20"/>
                <w:szCs w:val="20"/>
                <w:color w:val="auto"/>
              </w:rPr>
            </w:pPr>
          </w:p>
        </w:tc>
        <w:tc>
          <w:tcPr>
            <w:tcW w:w="274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78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0"/>
        </w:trPr>
        <w:tc>
          <w:tcPr>
            <w:tcW w:w="78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(Unaudited)</w:t>
            </w:r>
          </w:p>
        </w:tc>
        <w:tc>
          <w:tcPr>
            <w:tcW w:w="3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Net income attributable to ordinary shareholders – basic and diluted</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231F20"/>
              </w:rPr>
              <w:t>559,638</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231,278</w:t>
            </w:r>
          </w:p>
        </w:tc>
      </w:tr>
      <w:tr>
        <w:trPr>
          <w:trHeight w:val="209"/>
        </w:trPr>
        <w:tc>
          <w:tcPr>
            <w:tcW w:w="78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Weighted average number of ordinary shares outstanding – basic</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231F20"/>
              </w:rPr>
              <w:t>347,340,180</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350,183,620</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231F20"/>
              </w:rPr>
              <w:t>Plus: effect of dilutive non-vested restricted shares awards</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231F20"/>
              </w:rPr>
              <w:t>154,600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632,907</w:t>
            </w:r>
          </w:p>
        </w:tc>
      </w:tr>
      <w:tr>
        <w:trPr>
          <w:trHeight w:val="223"/>
        </w:trPr>
        <w:tc>
          <w:tcPr>
            <w:tcW w:w="78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231F20"/>
              </w:rPr>
              <w:t>Weighted average number of ordinary shares outstanding – diluted</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231F20"/>
              </w:rPr>
              <w:t>347,494,780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350,816,527</w:t>
            </w:r>
          </w:p>
        </w:tc>
      </w:tr>
      <w:tr>
        <w:trPr>
          <w:trHeight w:val="210"/>
        </w:trPr>
        <w:tc>
          <w:tcPr>
            <w:tcW w:w="78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231F20"/>
              </w:rPr>
              <w:t>Basic net income per share</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231F20"/>
              </w:rPr>
              <w:t>1.61</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0.66</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Diluted net income per share</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231F20"/>
              </w:rPr>
              <w:t>1.61</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0.66</w:t>
            </w:r>
          </w:p>
        </w:tc>
      </w:tr>
    </w:tbl>
    <w:p>
      <w:pPr>
        <w:spacing w:after="0" w:line="19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231F20"/>
        </w:rPr>
        <w:t>Shares issuable to the investors of Camsing Incident (as defined in Note 7) are included in the computation of basic earnings per share as the shares will be issued for no cash consideration and all necessary conditions have been satisfied upon the settlement.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Diluted net income per share does not include the following instruments as their inclusion would be antidilutive: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74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320" w:type="dxa"/>
            <w:vAlign w:val="bottom"/>
            <w:tcBorders>
              <w:top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(Unaudited)</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Share options</w:t>
            </w:r>
          </w:p>
        </w:tc>
        <w:tc>
          <w:tcPr>
            <w:tcW w:w="46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231F20"/>
              </w:rPr>
              <w:t>5,858,060</w:t>
            </w:r>
          </w:p>
        </w:tc>
        <w:tc>
          <w:tcPr>
            <w:tcW w:w="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168,577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231F20"/>
              </w:rPr>
              <w:t>Non-vested restricted shares awards under share incentive plan</w:t>
            </w:r>
          </w:p>
        </w:tc>
        <w:tc>
          <w:tcPr>
            <w:tcW w:w="46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231F20"/>
              </w:rPr>
              <w:t>396,120</w:t>
            </w:r>
          </w:p>
        </w:tc>
        <w:tc>
          <w:tcPr>
            <w:tcW w:w="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3,622,474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Total</w:t>
            </w:r>
          </w:p>
        </w:tc>
        <w:tc>
          <w:tcPr>
            <w:tcW w:w="46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231F20"/>
              </w:rPr>
              <w:t>6,254,180</w:t>
            </w:r>
          </w:p>
        </w:tc>
        <w:tc>
          <w:tcPr>
            <w:tcW w:w="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3,791,051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231F20"/>
                <w:w w:val="88"/>
              </w:rPr>
              <w:t>6.</w:t>
            </w:r>
          </w:p>
        </w:tc>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Accounts Receivables, net</w:t>
            </w:r>
          </w:p>
        </w:tc>
        <w:tc>
          <w:tcPr>
            <w:tcW w:w="3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vMerge w:val="continue"/>
          </w:tcPr>
          <w:p>
            <w:pPr>
              <w:spacing w:after="0"/>
              <w:rPr>
                <w:sz w:val="24"/>
                <w:szCs w:val="24"/>
                <w:color w:val="auto"/>
              </w:rPr>
            </w:pPr>
          </w:p>
        </w:tc>
        <w:tc>
          <w:tcPr>
            <w:tcW w:w="4700" w:type="dxa"/>
            <w:vAlign w:val="bottom"/>
            <w:vMerge w:val="continue"/>
          </w:tcPr>
          <w:p>
            <w:pPr>
              <w:spacing w:after="0"/>
              <w:rPr>
                <w:sz w:val="24"/>
                <w:szCs w:val="24"/>
                <w:color w:val="auto"/>
              </w:rPr>
            </w:pPr>
          </w:p>
        </w:tc>
        <w:tc>
          <w:tcPr>
            <w:tcW w:w="3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231F20"/>
              </w:rPr>
              <w:t>Accounts receivable consisted of the following:</w:t>
            </w:r>
          </w:p>
        </w:tc>
        <w:tc>
          <w:tcPr>
            <w:tcW w:w="3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560" w:type="dxa"/>
            <w:vAlign w:val="bottom"/>
            <w:tcBorders>
              <w:bottom w:val="single" w:sz="8" w:color="auto"/>
            </w:tcBorders>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560" w:type="dxa"/>
            <w:vAlign w:val="bottom"/>
            <w:gridSpan w:val="3"/>
          </w:tcPr>
          <w:p>
            <w:pPr>
              <w:jc w:val="center"/>
              <w:ind w:right="380"/>
              <w:spacing w:after="0" w:line="188" w:lineRule="exact"/>
              <w:rPr>
                <w:sz w:val="20"/>
                <w:szCs w:val="20"/>
                <w:color w:val="auto"/>
              </w:rPr>
            </w:pPr>
            <w:r>
              <w:rPr>
                <w:rFonts w:ascii="Times New Roman" w:cs="Times New Roman" w:eastAsia="Times New Roman" w:hAnsi="Times New Roman"/>
                <w:sz w:val="18"/>
                <w:szCs w:val="18"/>
                <w:color w:val="231F20"/>
              </w:rPr>
              <w:t>December 31,</w:t>
            </w:r>
          </w:p>
        </w:tc>
        <w:tc>
          <w:tcPr>
            <w:tcW w:w="10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231F20"/>
                <w:w w:val="99"/>
              </w:rPr>
              <w:t>June 30,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4300" w:type="dxa"/>
            <w:vAlign w:val="bottom"/>
            <w:gridSpan w:val="2"/>
          </w:tcPr>
          <w:p>
            <w:pPr>
              <w:jc w:val="center"/>
              <w:ind w:left="3050"/>
              <w:spacing w:after="0"/>
              <w:rPr>
                <w:sz w:val="20"/>
                <w:szCs w:val="20"/>
                <w:color w:val="auto"/>
              </w:rPr>
            </w:pPr>
            <w:r>
              <w:rPr>
                <w:rFonts w:ascii="Times New Roman" w:cs="Times New Roman" w:eastAsia="Times New Roman" w:hAnsi="Times New Roman"/>
                <w:sz w:val="18"/>
                <w:szCs w:val="18"/>
                <w:color w:val="auto"/>
                <w:w w:val="99"/>
              </w:rPr>
              <w:t>2023</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5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i w:val="1"/>
                <w:iCs w:val="1"/>
                <w:color w:val="231F20"/>
              </w:rPr>
              <w:t>RMB</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i w:val="1"/>
                <w:iCs w:val="1"/>
                <w:color w:val="231F20"/>
                <w:w w:val="99"/>
              </w:rPr>
              <w:t>RMB</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(Audited)</w:t>
            </w:r>
          </w:p>
        </w:tc>
        <w:tc>
          <w:tcPr>
            <w:tcW w:w="3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(Unaudited)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Accounts receivable, gross</w:t>
            </w:r>
          </w:p>
        </w:tc>
        <w:tc>
          <w:tcPr>
            <w:tcW w:w="46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231F20"/>
              </w:rPr>
              <w:t>510,840</w:t>
            </w:r>
          </w:p>
        </w:tc>
        <w:tc>
          <w:tcPr>
            <w:tcW w:w="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442,410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231F20"/>
              </w:rPr>
              <w:t>Allowance for credit losses</w:t>
            </w:r>
          </w:p>
        </w:tc>
        <w:tc>
          <w:tcPr>
            <w:tcW w:w="46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231F20"/>
              </w:rPr>
              <w:t>(6,862)</w:t>
            </w:r>
          </w:p>
        </w:tc>
        <w:tc>
          <w:tcPr>
            <w:tcW w:w="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231F20"/>
              </w:rPr>
              <w:t>(12,993)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46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503,978</w:t>
            </w:r>
          </w:p>
        </w:tc>
        <w:tc>
          <w:tcPr>
            <w:tcW w:w="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429,417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120" w:type="dxa"/>
            <w:vAlign w:val="bottom"/>
            <w:vMerge w:val="restart"/>
          </w:tcPr>
          <w:p>
            <w:pPr>
              <w:jc w:val="right"/>
              <w:ind w:right="2670"/>
              <w:spacing w:after="0"/>
              <w:rPr>
                <w:sz w:val="20"/>
                <w:szCs w:val="20"/>
                <w:color w:val="auto"/>
              </w:rPr>
            </w:pPr>
            <w:r>
              <w:rPr>
                <w:rFonts w:ascii="Times New Roman" w:cs="Times New Roman" w:eastAsia="Times New Roman" w:hAnsi="Times New Roman"/>
                <w:sz w:val="18"/>
                <w:szCs w:val="18"/>
                <w:color w:val="auto"/>
              </w:rPr>
              <w:t>31</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6" w:right="339" w:bottom="1440" w:gutter="0" w:footer="0" w:header="0"/>
        </w:sectPr>
      </w:pPr>
    </w:p>
    <w:bookmarkStart w:id="37" w:name="page38"/>
    <w:bookmarkEnd w:id="37"/>
    <w:p>
      <w:pPr>
        <w:spacing w:after="0" w:line="1" w:lineRule="exact"/>
        <w:rPr>
          <w:sz w:val="20"/>
          <w:szCs w:val="20"/>
          <w:color w:val="auto"/>
        </w:rPr>
      </w:pPr>
    </w:p>
    <w:tbl>
      <w:tblPr>
        <w:tblLayout w:type="fixed"/>
        <w:tblInd w:w="652" w:type="dxa"/>
        <w:tblCellMar>
          <w:top w:w="0" w:type="dxa"/>
          <w:left w:w="0" w:type="dxa"/>
          <w:bottom w:w="0" w:type="dxa"/>
          <w:right w:w="0" w:type="dxa"/>
        </w:tblCellMar>
      </w:tblPr>
      <w:tr>
        <w:trPr>
          <w:trHeight w:val="234"/>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231F20"/>
              </w:rPr>
              <w:t> An aging analysis of accounts receivable, based on invoice date, is as follows:</w:t>
            </w: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820" w:type="dxa"/>
            <w:vAlign w:val="bottom"/>
          </w:tcPr>
          <w:p>
            <w:pPr>
              <w:spacing w:after="0"/>
              <w:rPr>
                <w:sz w:val="24"/>
                <w:szCs w:val="24"/>
                <w:color w:val="auto"/>
              </w:rPr>
            </w:pPr>
          </w:p>
        </w:tc>
        <w:tc>
          <w:tcPr>
            <w:tcW w:w="1560" w:type="dxa"/>
            <w:vAlign w:val="bottom"/>
            <w:tcBorders>
              <w:bottom w:val="single" w:sz="8" w:color="auto"/>
            </w:tcBorders>
            <w:gridSpan w:val="3"/>
          </w:tcPr>
          <w:p>
            <w:pPr>
              <w:ind w:left="1120"/>
              <w:spacing w:after="0"/>
              <w:rPr>
                <w:sz w:val="20"/>
                <w:szCs w:val="20"/>
                <w:color w:val="auto"/>
              </w:rPr>
            </w:pPr>
            <w:r>
              <w:rPr>
                <w:rFonts w:ascii="Times New Roman" w:cs="Times New Roman" w:eastAsia="Times New Roman" w:hAnsi="Times New Roman"/>
                <w:sz w:val="18"/>
                <w:szCs w:val="18"/>
                <w:b w:val="1"/>
                <w:bCs w:val="1"/>
                <w:color w:val="231F20"/>
              </w:rPr>
              <w:t>As of</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7820" w:type="dxa"/>
            <w:vAlign w:val="bottom"/>
          </w:tcPr>
          <w:p>
            <w:pPr>
              <w:spacing w:after="0"/>
              <w:rPr>
                <w:sz w:val="16"/>
                <w:szCs w:val="16"/>
                <w:color w:val="auto"/>
              </w:rPr>
            </w:pPr>
          </w:p>
        </w:tc>
        <w:tc>
          <w:tcPr>
            <w:tcW w:w="1560" w:type="dxa"/>
            <w:vAlign w:val="bottom"/>
            <w:gridSpan w:val="3"/>
          </w:tcPr>
          <w:p>
            <w:pPr>
              <w:jc w:val="center"/>
              <w:ind w:right="380"/>
              <w:spacing w:after="0" w:line="188" w:lineRule="exact"/>
              <w:rPr>
                <w:sz w:val="20"/>
                <w:szCs w:val="20"/>
                <w:color w:val="auto"/>
              </w:rPr>
            </w:pPr>
            <w:r>
              <w:rPr>
                <w:rFonts w:ascii="Times New Roman" w:cs="Times New Roman" w:eastAsia="Times New Roman" w:hAnsi="Times New Roman"/>
                <w:sz w:val="18"/>
                <w:szCs w:val="18"/>
                <w:color w:val="231F20"/>
              </w:rPr>
              <w:t>December 31,</w:t>
            </w:r>
          </w:p>
        </w:tc>
        <w:tc>
          <w:tcPr>
            <w:tcW w:w="10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231F20"/>
                <w:w w:val="99"/>
              </w:rPr>
              <w:t>June 30,</w:t>
            </w:r>
          </w:p>
        </w:tc>
        <w:tc>
          <w:tcPr>
            <w:tcW w:w="100" w:type="dxa"/>
            <w:vAlign w:val="bottom"/>
          </w:tcPr>
          <w:p>
            <w:pPr>
              <w:spacing w:after="0"/>
              <w:rPr>
                <w:sz w:val="16"/>
                <w:szCs w:val="16"/>
                <w:color w:val="auto"/>
              </w:rPr>
            </w:pPr>
          </w:p>
        </w:tc>
      </w:tr>
      <w:tr>
        <w:trPr>
          <w:trHeight w:val="238"/>
        </w:trPr>
        <w:tc>
          <w:tcPr>
            <w:tcW w:w="782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43"/>
        </w:trPr>
        <w:tc>
          <w:tcPr>
            <w:tcW w:w="7820" w:type="dxa"/>
            <w:vAlign w:val="bottom"/>
          </w:tcPr>
          <w:p>
            <w:pPr>
              <w:spacing w:after="0"/>
              <w:rPr>
                <w:sz w:val="21"/>
                <w:szCs w:val="21"/>
                <w:color w:val="auto"/>
              </w:rPr>
            </w:pPr>
          </w:p>
        </w:tc>
        <w:tc>
          <w:tcPr>
            <w:tcW w:w="15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i w:val="1"/>
                <w:iCs w:val="1"/>
                <w:color w:val="auto"/>
              </w:rPr>
              <w:t>RMB</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i w:val="1"/>
                <w:iCs w:val="1"/>
                <w:color w:val="auto"/>
                <w:w w:val="99"/>
              </w:rPr>
              <w:t>RMB</w:t>
            </w:r>
          </w:p>
        </w:tc>
      </w:tr>
      <w:tr>
        <w:trPr>
          <w:trHeight w:val="209"/>
        </w:trPr>
        <w:tc>
          <w:tcPr>
            <w:tcW w:w="7820" w:type="dxa"/>
            <w:vAlign w:val="bottom"/>
          </w:tcPr>
          <w:p>
            <w:pPr>
              <w:spacing w:after="0"/>
              <w:rPr>
                <w:sz w:val="18"/>
                <w:szCs w:val="18"/>
                <w:color w:val="auto"/>
              </w:rPr>
            </w:pPr>
          </w:p>
        </w:tc>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(Audited)</w:t>
            </w:r>
          </w:p>
        </w:tc>
        <w:tc>
          <w:tcPr>
            <w:tcW w:w="3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(Unaudited)</w:t>
            </w:r>
          </w:p>
        </w:tc>
        <w:tc>
          <w:tcPr>
            <w:tcW w:w="10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Within 1 year</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231F20"/>
              </w:rPr>
              <w:t>479,216</w:t>
            </w:r>
          </w:p>
        </w:tc>
        <w:tc>
          <w:tcPr>
            <w:tcW w:w="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400,933</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231F20"/>
              </w:rPr>
              <w:t>1-2 years</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231F20"/>
              </w:rPr>
              <w:t>6,657</w:t>
            </w:r>
          </w:p>
        </w:tc>
        <w:tc>
          <w:tcPr>
            <w:tcW w:w="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16,467</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2-3 years</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231F20"/>
              </w:rPr>
              <w:t>7,102</w:t>
            </w:r>
          </w:p>
        </w:tc>
        <w:tc>
          <w:tcPr>
            <w:tcW w:w="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9,211</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231F20"/>
              </w:rPr>
              <w:t>3-4 years</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231F20"/>
              </w:rPr>
              <w:t>8,618</w:t>
            </w:r>
          </w:p>
        </w:tc>
        <w:tc>
          <w:tcPr>
            <w:tcW w:w="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3,415</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Over 4 years</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231F20"/>
              </w:rPr>
              <w:t>9,247</w:t>
            </w:r>
          </w:p>
        </w:tc>
        <w:tc>
          <w:tcPr>
            <w:tcW w:w="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12,384</w:t>
            </w:r>
          </w:p>
        </w:tc>
      </w:tr>
      <w:tr>
        <w:trPr>
          <w:trHeight w:val="209"/>
        </w:trPr>
        <w:tc>
          <w:tcPr>
            <w:tcW w:w="78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Accounts receivable, gross</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231F20"/>
              </w:rPr>
              <w:t>510,840</w:t>
            </w:r>
          </w:p>
        </w:tc>
        <w:tc>
          <w:tcPr>
            <w:tcW w:w="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442,410</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ind w:left="652" w:hanging="652"/>
        <w:spacing w:after="0"/>
        <w:tabs>
          <w:tab w:leader="none" w:pos="652" w:val="left"/>
        </w:tabs>
        <w:numPr>
          <w:ilvl w:val="0"/>
          <w:numId w:val="11"/>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Settlement for Camsing Incident</w:t>
      </w:r>
    </w:p>
    <w:p>
      <w:pPr>
        <w:spacing w:after="0" w:line="225" w:lineRule="exact"/>
        <w:rPr>
          <w:rFonts w:ascii="Times New Roman" w:cs="Times New Roman" w:eastAsia="Times New Roman" w:hAnsi="Times New Roman"/>
          <w:sz w:val="18"/>
          <w:szCs w:val="18"/>
          <w:b w:val="1"/>
          <w:bCs w:val="1"/>
          <w:color w:val="231F20"/>
        </w:rPr>
      </w:pPr>
    </w:p>
    <w:p>
      <w:pPr>
        <w:jc w:val="both"/>
        <w:ind w:left="652"/>
        <w:spacing w:after="0" w:line="262" w:lineRule="auto"/>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In July 2019, in connection with certain funds managed (“</w:t>
      </w:r>
      <w:r>
        <w:rPr>
          <w:rFonts w:ascii="Times New Roman" w:cs="Times New Roman" w:eastAsia="Times New Roman" w:hAnsi="Times New Roman"/>
          <w:sz w:val="18"/>
          <w:szCs w:val="18"/>
          <w:b w:val="1"/>
          <w:bCs w:val="1"/>
          <w:color w:val="231F20"/>
        </w:rPr>
        <w:t>Camsing Credit Funds</w:t>
      </w:r>
      <w:r>
        <w:rPr>
          <w:rFonts w:ascii="Times New Roman" w:cs="Times New Roman" w:eastAsia="Times New Roman" w:hAnsi="Times New Roman"/>
          <w:sz w:val="18"/>
          <w:szCs w:val="18"/>
          <w:color w:val="231F20"/>
        </w:rPr>
        <w:t>” or “</w:t>
      </w:r>
      <w:r>
        <w:rPr>
          <w:rFonts w:ascii="Times New Roman" w:cs="Times New Roman" w:eastAsia="Times New Roman" w:hAnsi="Times New Roman"/>
          <w:sz w:val="18"/>
          <w:szCs w:val="18"/>
          <w:b w:val="1"/>
          <w:bCs w:val="1"/>
          <w:color w:val="231F20"/>
        </w:rPr>
        <w:t>Camsing Products</w:t>
      </w:r>
      <w:r>
        <w:rPr>
          <w:rFonts w:ascii="Times New Roman" w:cs="Times New Roman" w:eastAsia="Times New Roman" w:hAnsi="Times New Roman"/>
          <w:sz w:val="18"/>
          <w:szCs w:val="18"/>
          <w:color w:val="231F20"/>
        </w:rPr>
        <w:t>”) by Shanghai Gopher Asset Management Co., Ltd. (“</w:t>
      </w:r>
      <w:r>
        <w:rPr>
          <w:rFonts w:ascii="Times New Roman" w:cs="Times New Roman" w:eastAsia="Times New Roman" w:hAnsi="Times New Roman"/>
          <w:sz w:val="18"/>
          <w:szCs w:val="18"/>
          <w:b w:val="1"/>
          <w:bCs w:val="1"/>
          <w:color w:val="231F20"/>
        </w:rPr>
        <w:t>Shanghai Gopher</w:t>
      </w:r>
      <w:r>
        <w:rPr>
          <w:rFonts w:ascii="Times New Roman" w:cs="Times New Roman" w:eastAsia="Times New Roman" w:hAnsi="Times New Roman"/>
          <w:sz w:val="18"/>
          <w:szCs w:val="18"/>
          <w:color w:val="231F20"/>
        </w:rPr>
        <w:t>”), a consolidated affiliated subsidiary of the Company, it is suspected that fraud had been committed by third parties related to the underlying investments (the “</w:t>
      </w:r>
      <w:r>
        <w:rPr>
          <w:rFonts w:ascii="Times New Roman" w:cs="Times New Roman" w:eastAsia="Times New Roman" w:hAnsi="Times New Roman"/>
          <w:sz w:val="18"/>
          <w:szCs w:val="18"/>
          <w:b w:val="1"/>
          <w:bCs w:val="1"/>
          <w:color w:val="231F20"/>
        </w:rPr>
        <w:t>Camsing Incident</w:t>
      </w:r>
      <w:r>
        <w:rPr>
          <w:rFonts w:ascii="Times New Roman" w:cs="Times New Roman" w:eastAsia="Times New Roman" w:hAnsi="Times New Roman"/>
          <w:sz w:val="18"/>
          <w:szCs w:val="18"/>
          <w:color w:val="231F20"/>
        </w:rPr>
        <w:t>”). A total of 818 investors were affected, and the outstanding amount of the investments that is potentially subject to repayment upon default amounted to RMB3.4 billion.</w:t>
      </w:r>
    </w:p>
    <w:p>
      <w:pPr>
        <w:spacing w:after="0" w:line="176" w:lineRule="exact"/>
        <w:rPr>
          <w:rFonts w:ascii="Times New Roman" w:cs="Times New Roman" w:eastAsia="Times New Roman" w:hAnsi="Times New Roman"/>
          <w:sz w:val="18"/>
          <w:szCs w:val="18"/>
          <w:b w:val="1"/>
          <w:bCs w:val="1"/>
          <w:color w:val="231F20"/>
        </w:rPr>
      </w:pPr>
    </w:p>
    <w:p>
      <w:pPr>
        <w:ind w:left="652"/>
        <w:spacing w:after="0"/>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i w:val="1"/>
          <w:iCs w:val="1"/>
          <w:color w:val="231F20"/>
        </w:rPr>
        <w:t>Settlement Plan</w:t>
      </w:r>
    </w:p>
    <w:p>
      <w:pPr>
        <w:spacing w:after="0" w:line="225" w:lineRule="exact"/>
        <w:rPr>
          <w:rFonts w:ascii="Times New Roman" w:cs="Times New Roman" w:eastAsia="Times New Roman" w:hAnsi="Times New Roman"/>
          <w:sz w:val="18"/>
          <w:szCs w:val="18"/>
          <w:b w:val="1"/>
          <w:bCs w:val="1"/>
          <w:color w:val="231F20"/>
        </w:rPr>
      </w:pPr>
    </w:p>
    <w:p>
      <w:pPr>
        <w:jc w:val="both"/>
        <w:ind w:left="652"/>
        <w:spacing w:after="0" w:line="257" w:lineRule="auto"/>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To preserve the Group’s goodwill with affected investors, it voluntarily made an ex gratia settlement offer (the “</w:t>
      </w:r>
      <w:r>
        <w:rPr>
          <w:rFonts w:ascii="Times New Roman" w:cs="Times New Roman" w:eastAsia="Times New Roman" w:hAnsi="Times New Roman"/>
          <w:sz w:val="18"/>
          <w:szCs w:val="18"/>
          <w:b w:val="1"/>
          <w:bCs w:val="1"/>
          <w:color w:val="231F20"/>
        </w:rPr>
        <w:t>Settlement Plan</w:t>
      </w:r>
      <w:r>
        <w:rPr>
          <w:rFonts w:ascii="Times New Roman" w:cs="Times New Roman" w:eastAsia="Times New Roman" w:hAnsi="Times New Roman"/>
          <w:sz w:val="18"/>
          <w:szCs w:val="18"/>
          <w:color w:val="231F20"/>
        </w:rPr>
        <w:t>”) to affected investors. An affected investor accepting the offer shall receive restricted share units (“</w:t>
      </w:r>
      <w:r>
        <w:rPr>
          <w:rFonts w:ascii="Times New Roman" w:cs="Times New Roman" w:eastAsia="Times New Roman" w:hAnsi="Times New Roman"/>
          <w:sz w:val="18"/>
          <w:szCs w:val="18"/>
          <w:b w:val="1"/>
          <w:bCs w:val="1"/>
          <w:color w:val="231F20"/>
        </w:rPr>
        <w:t>RSUs</w:t>
      </w:r>
      <w:r>
        <w:rPr>
          <w:rFonts w:ascii="Times New Roman" w:cs="Times New Roman" w:eastAsia="Times New Roman" w:hAnsi="Times New Roman"/>
          <w:sz w:val="18"/>
          <w:szCs w:val="18"/>
          <w:color w:val="231F20"/>
        </w:rPr>
        <w:t>”), which upon vesting will become Class A ordinary shares of the Company, and in return forgo all outstanding legal rights associated with the investment in the Camsing Credit Funds and irrevocably release the Company and all its affiliated entities and individuals from any and all claims immediately, known or unknown, that relate to the Camsing Credit Funds. The number of Class A ordinary shares each investor is entitled to is determined based on a fixed ratio of the investor’s outstanding investments in Camsing Products at 2,886 ADSs per RMB1 million.</w:t>
      </w:r>
    </w:p>
    <w:p>
      <w:pPr>
        <w:spacing w:after="0" w:line="186" w:lineRule="exact"/>
        <w:rPr>
          <w:rFonts w:ascii="Times New Roman" w:cs="Times New Roman" w:eastAsia="Times New Roman" w:hAnsi="Times New Roman"/>
          <w:sz w:val="18"/>
          <w:szCs w:val="18"/>
          <w:b w:val="1"/>
          <w:bCs w:val="1"/>
          <w:color w:val="231F20"/>
        </w:rPr>
      </w:pPr>
    </w:p>
    <w:p>
      <w:pPr>
        <w:jc w:val="both"/>
        <w:ind w:left="652"/>
        <w:spacing w:after="0" w:line="266" w:lineRule="auto"/>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On August 24, 2020, the Settlement Plan was approved by the Board of Directors of the Company that a total number of new Class A ordinary shares not exceeding 1.6% of the share capital of the Company has been authorized to be issued each year for a consecutive ten years for the Settlement Plan.</w:t>
      </w:r>
    </w:p>
    <w:p>
      <w:pPr>
        <w:spacing w:after="0" w:line="175" w:lineRule="exact"/>
        <w:rPr>
          <w:rFonts w:ascii="Times New Roman" w:cs="Times New Roman" w:eastAsia="Times New Roman" w:hAnsi="Times New Roman"/>
          <w:sz w:val="18"/>
          <w:szCs w:val="18"/>
          <w:b w:val="1"/>
          <w:bCs w:val="1"/>
          <w:color w:val="231F20"/>
        </w:rPr>
      </w:pPr>
    </w:p>
    <w:p>
      <w:pPr>
        <w:ind w:left="652" w:right="20"/>
        <w:spacing w:after="0" w:line="282" w:lineRule="auto"/>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The Group evaluated and concluded the financial instruments to be issued under the Settlement Plan meet equity classification under ASC 815-40-25-10. Therefore, such instruments were initially measured at fair value and recognized as part of additional-paid-in-capital.</w:t>
      </w:r>
    </w:p>
    <w:p>
      <w:pPr>
        <w:spacing w:after="0" w:line="161" w:lineRule="exact"/>
        <w:rPr>
          <w:rFonts w:ascii="Times New Roman" w:cs="Times New Roman" w:eastAsia="Times New Roman" w:hAnsi="Times New Roman"/>
          <w:sz w:val="18"/>
          <w:szCs w:val="18"/>
          <w:b w:val="1"/>
          <w:bCs w:val="1"/>
          <w:color w:val="231F20"/>
        </w:rPr>
      </w:pPr>
    </w:p>
    <w:p>
      <w:pPr>
        <w:jc w:val="both"/>
        <w:ind w:left="652"/>
        <w:spacing w:after="0" w:line="258" w:lineRule="auto"/>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Since the Settlement Plan was offered, the Group has estimated the probable amount of future settlement taking into consideration of possible forms of settlement and estimated acceptable level, and recorded it as a contingent liability which has been discussed in Note 8. For the six months ended June 30, 2024, additional 6 investors accepted the Settlement Plan, resulting in the reversal of settlement expense in the amount of RMB11.5 million (US$1.6 million) as a result of the difference between the fair value of the RSUs to be issued at each settlement acceptance date and the corresponding contingent liability accrued for these investors.</w:t>
      </w:r>
    </w:p>
    <w:p>
      <w:pPr>
        <w:spacing w:after="0" w:line="183" w:lineRule="exact"/>
        <w:rPr>
          <w:rFonts w:ascii="Times New Roman" w:cs="Times New Roman" w:eastAsia="Times New Roman" w:hAnsi="Times New Roman"/>
          <w:sz w:val="18"/>
          <w:szCs w:val="18"/>
          <w:b w:val="1"/>
          <w:bCs w:val="1"/>
          <w:color w:val="231F20"/>
        </w:rPr>
      </w:pPr>
    </w:p>
    <w:p>
      <w:pPr>
        <w:ind w:left="652"/>
        <w:spacing w:after="0" w:line="282" w:lineRule="auto"/>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As of June 30, 2024, 601 out of the total 818 investors (approximately 73.5%) had accepted settlements under the plan, representing RMB2.6 billion out of the total outstanding investments of RMB3.4 billion under the Camsing Products.</w:t>
      </w:r>
    </w:p>
    <w:p>
      <w:pPr>
        <w:spacing w:after="0" w:line="37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38" w:name="page39"/>
    <w:bookmarkEnd w:id="38"/>
    <w:p>
      <w:pPr>
        <w:ind w:left="612" w:hanging="612"/>
        <w:spacing w:after="0"/>
        <w:tabs>
          <w:tab w:leader="none" w:pos="612" w:val="left"/>
        </w:tabs>
        <w:numPr>
          <w:ilvl w:val="0"/>
          <w:numId w:val="12"/>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Contingencies</w:t>
      </w:r>
    </w:p>
    <w:p>
      <w:pPr>
        <w:spacing w:after="0" w:line="225"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b w:val="1"/>
          <w:bCs w:val="1"/>
          <w:i w:val="1"/>
          <w:iCs w:val="1"/>
          <w:color w:val="231F20"/>
        </w:rPr>
        <w:t>Camsing Incident</w:t>
      </w:r>
    </w:p>
    <w:p>
      <w:pPr>
        <w:spacing w:after="0" w:line="229" w:lineRule="exact"/>
        <w:rPr>
          <w:sz w:val="20"/>
          <w:szCs w:val="20"/>
          <w:color w:val="auto"/>
        </w:rPr>
      </w:pPr>
    </w:p>
    <w:p>
      <w:pPr>
        <w:jc w:val="both"/>
        <w:ind w:left="652"/>
        <w:spacing w:after="0" w:line="256" w:lineRule="auto"/>
        <w:rPr>
          <w:sz w:val="20"/>
          <w:szCs w:val="20"/>
          <w:color w:val="auto"/>
        </w:rPr>
      </w:pPr>
      <w:r>
        <w:rPr>
          <w:rFonts w:ascii="Times New Roman" w:cs="Times New Roman" w:eastAsia="Times New Roman" w:hAnsi="Times New Roman"/>
          <w:sz w:val="18"/>
          <w:szCs w:val="18"/>
          <w:color w:val="231F20"/>
        </w:rPr>
        <w:t>As disclosed in Note 7, the Group offered a voluntary settlement plan in 2020 to all affected Camsing investors, and as of June 30, 2024, approximately 73.5% of the Camsing investors had accepted the settlement plan, representing approximately 76.3% of the total outstanding investments of RMB3.4 billion under the Camsing Products. The Group currently has no new settlement plan for the remaining unsettled investors, but would not preclude reaching settlements in the future with similar terms. The Group estimated the probable amount of future settlement taking into consideration of possible forms of settlement and estimated acceptable level, and recorded it as a contingent liability in the amount of US$65.5 million (RMB475.8 million) as of June 30, 2024.</w:t>
      </w:r>
    </w:p>
    <w:p>
      <w:pPr>
        <w:spacing w:after="0" w:line="187" w:lineRule="exact"/>
        <w:rPr>
          <w:sz w:val="20"/>
          <w:szCs w:val="20"/>
          <w:color w:val="auto"/>
        </w:rPr>
      </w:pPr>
    </w:p>
    <w:p>
      <w:pPr>
        <w:jc w:val="both"/>
        <w:ind w:left="652"/>
        <w:spacing w:after="0" w:line="281" w:lineRule="auto"/>
        <w:rPr>
          <w:sz w:val="20"/>
          <w:szCs w:val="20"/>
          <w:color w:val="auto"/>
        </w:rPr>
      </w:pPr>
      <w:r>
        <w:rPr>
          <w:rFonts w:ascii="Times New Roman" w:cs="Times New Roman" w:eastAsia="Times New Roman" w:hAnsi="Times New Roman"/>
          <w:sz w:val="17"/>
          <w:szCs w:val="17"/>
          <w:color w:val="231F20"/>
        </w:rPr>
        <w:t>As of June 30, 2024, there were 44 investors whose legal proceedings against Shanghai Gopher and/or its affiliates, with an aggregate claim amount over RMB149.0 million were still outstanding. The Group is of the view that these proceedings will not have a material adverse effect on the Group’s business. As the date of this announcement, the management has assessed, based on its PRC legal counsels’ advices, the Group cannot reasonably predict the timing or outcomes of, or estimate the amount of loss, or range of loss, if any, related to the pending legal proceedings.</w:t>
      </w:r>
    </w:p>
    <w:p>
      <w:pPr>
        <w:spacing w:after="0" w:line="160"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b w:val="1"/>
          <w:bCs w:val="1"/>
          <w:i w:val="1"/>
          <w:iCs w:val="1"/>
          <w:color w:val="231F20"/>
        </w:rPr>
        <w:t>Litigation</w:t>
      </w:r>
    </w:p>
    <w:p>
      <w:pPr>
        <w:spacing w:after="0" w:line="225" w:lineRule="exact"/>
        <w:rPr>
          <w:sz w:val="20"/>
          <w:szCs w:val="20"/>
          <w:color w:val="auto"/>
        </w:rPr>
      </w:pPr>
    </w:p>
    <w:p>
      <w:pPr>
        <w:jc w:val="both"/>
        <w:ind w:left="652"/>
        <w:spacing w:after="0" w:line="268" w:lineRule="auto"/>
        <w:rPr>
          <w:sz w:val="20"/>
          <w:szCs w:val="20"/>
          <w:color w:val="auto"/>
        </w:rPr>
      </w:pPr>
      <w:r>
        <w:rPr>
          <w:rFonts w:ascii="Times New Roman" w:cs="Times New Roman" w:eastAsia="Times New Roman" w:hAnsi="Times New Roman"/>
          <w:sz w:val="18"/>
          <w:szCs w:val="18"/>
          <w:color w:val="231F20"/>
        </w:rPr>
        <w:t>In December 2022, the Group received a civil judgment from the Bozhou Intermediate People’s Court of Anhui Province (the “</w:t>
      </w:r>
      <w:r>
        <w:rPr>
          <w:rFonts w:ascii="Times New Roman" w:cs="Times New Roman" w:eastAsia="Times New Roman" w:hAnsi="Times New Roman"/>
          <w:sz w:val="18"/>
          <w:szCs w:val="18"/>
          <w:b w:val="1"/>
          <w:bCs w:val="1"/>
          <w:color w:val="231F20"/>
        </w:rPr>
        <w:t>First Instance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Court</w:t>
      </w:r>
      <w:r>
        <w:rPr>
          <w:rFonts w:ascii="Times New Roman" w:cs="Times New Roman" w:eastAsia="Times New Roman" w:hAnsi="Times New Roman"/>
          <w:sz w:val="18"/>
          <w:szCs w:val="18"/>
          <w:color w:val="231F20"/>
        </w:rPr>
        <w:t>”). The judgement related to a civil lawsuit brought by an external institution (the “</w:t>
      </w:r>
      <w:r>
        <w:rPr>
          <w:rFonts w:ascii="Times New Roman" w:cs="Times New Roman" w:eastAsia="Times New Roman" w:hAnsi="Times New Roman"/>
          <w:sz w:val="18"/>
          <w:szCs w:val="18"/>
          <w:b w:val="1"/>
          <w:bCs w:val="1"/>
          <w:color w:val="231F20"/>
        </w:rPr>
        <w:t>Plaintiff</w:t>
      </w:r>
      <w:r>
        <w:rPr>
          <w:rFonts w:ascii="Times New Roman" w:cs="Times New Roman" w:eastAsia="Times New Roman" w:hAnsi="Times New Roman"/>
          <w:sz w:val="18"/>
          <w:szCs w:val="18"/>
          <w:color w:val="231F20"/>
        </w:rPr>
        <w:t>”) against Noah (Shanghai) Financial Leasing</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Co., Ltd. (the “</w:t>
      </w:r>
      <w:r>
        <w:rPr>
          <w:rFonts w:ascii="Times New Roman" w:cs="Times New Roman" w:eastAsia="Times New Roman" w:hAnsi="Times New Roman"/>
          <w:sz w:val="18"/>
          <w:szCs w:val="18"/>
          <w:b w:val="1"/>
          <w:bCs w:val="1"/>
          <w:color w:val="231F20"/>
        </w:rPr>
        <w:t>Defendant</w:t>
      </w:r>
      <w:r>
        <w:rPr>
          <w:rFonts w:ascii="Times New Roman" w:cs="Times New Roman" w:eastAsia="Times New Roman" w:hAnsi="Times New Roman"/>
          <w:sz w:val="18"/>
          <w:szCs w:val="18"/>
          <w:color w:val="231F20"/>
        </w:rPr>
        <w:t>”, one subsidiary of the Company).</w:t>
      </w:r>
    </w:p>
    <w:p>
      <w:pPr>
        <w:spacing w:after="0" w:line="175" w:lineRule="exact"/>
        <w:rPr>
          <w:sz w:val="20"/>
          <w:szCs w:val="20"/>
          <w:color w:val="auto"/>
        </w:rPr>
      </w:pPr>
    </w:p>
    <w:p>
      <w:pPr>
        <w:jc w:val="both"/>
        <w:ind w:left="652"/>
        <w:spacing w:after="0" w:line="258" w:lineRule="auto"/>
        <w:rPr>
          <w:sz w:val="20"/>
          <w:szCs w:val="20"/>
          <w:color w:val="auto"/>
        </w:rPr>
      </w:pPr>
      <w:r>
        <w:rPr>
          <w:rFonts w:ascii="Times New Roman" w:cs="Times New Roman" w:eastAsia="Times New Roman" w:hAnsi="Times New Roman"/>
          <w:sz w:val="18"/>
          <w:szCs w:val="18"/>
          <w:color w:val="231F20"/>
        </w:rPr>
        <w:t>The First Instance Court first accepted the civil lawsuit filed by the Plaintiff against the Defendant in August 2019 respecting the financial consultancy services provided by the Defendant to the Plaintiff on its investment process. The Defendant charged a fee of RMB0.5 million for providing such consultancy services to the Plaintiff. In December 2020, the First Instance Court dismissed the Plaintiff’s case. In March 2021, the High People’s Court of Anhui Province (the “</w:t>
      </w:r>
      <w:r>
        <w:rPr>
          <w:rFonts w:ascii="Times New Roman" w:cs="Times New Roman" w:eastAsia="Times New Roman" w:hAnsi="Times New Roman"/>
          <w:sz w:val="18"/>
          <w:szCs w:val="18"/>
          <w:b w:val="1"/>
          <w:bCs w:val="1"/>
          <w:color w:val="231F20"/>
        </w:rPr>
        <w:t>Appellate Court</w:t>
      </w:r>
      <w:r>
        <w:rPr>
          <w:rFonts w:ascii="Times New Roman" w:cs="Times New Roman" w:eastAsia="Times New Roman" w:hAnsi="Times New Roman"/>
          <w:sz w:val="18"/>
          <w:szCs w:val="18"/>
          <w:color w:val="231F20"/>
        </w:rPr>
        <w:t>”) dismissed the Plaintiff’s appeal to the ruling of the First Instance Court. No contingent liabilities with respect to the civil claim were recorded by the Group in 2020 and 2021.</w:t>
      </w:r>
    </w:p>
    <w:p>
      <w:pPr>
        <w:spacing w:after="0" w:line="183" w:lineRule="exact"/>
        <w:rPr>
          <w:sz w:val="20"/>
          <w:szCs w:val="20"/>
          <w:color w:val="auto"/>
        </w:rPr>
      </w:pPr>
    </w:p>
    <w:p>
      <w:pPr>
        <w:jc w:val="both"/>
        <w:ind w:left="652"/>
        <w:spacing w:after="0" w:line="258" w:lineRule="auto"/>
        <w:rPr>
          <w:sz w:val="20"/>
          <w:szCs w:val="20"/>
          <w:color w:val="auto"/>
        </w:rPr>
      </w:pPr>
      <w:r>
        <w:rPr>
          <w:rFonts w:ascii="Times New Roman" w:cs="Times New Roman" w:eastAsia="Times New Roman" w:hAnsi="Times New Roman"/>
          <w:sz w:val="18"/>
          <w:szCs w:val="18"/>
          <w:color w:val="231F20"/>
        </w:rPr>
        <w:t>The Plaintiff subsequently, for the third time, applied for a retrial to the Supreme People’s Court. In February 2022, the Supreme People’s Court issued an order revoking the aforementioned rulings and remanding the case to the First Instance Court for retrial. While the Group held the same view as before that the claim of the Plaintiff is without merit and is unfounded, in December 2022, the First Instance Court awarded the Plaintiff monetary damages of RMB99.0 million and corresponding interests (the “</w:t>
      </w:r>
      <w:r>
        <w:rPr>
          <w:rFonts w:ascii="Times New Roman" w:cs="Times New Roman" w:eastAsia="Times New Roman" w:hAnsi="Times New Roman"/>
          <w:sz w:val="18"/>
          <w:szCs w:val="18"/>
          <w:b w:val="1"/>
          <w:bCs w:val="1"/>
          <w:color w:val="231F20"/>
        </w:rPr>
        <w:t>First-instance Ruling</w:t>
      </w:r>
      <w:r>
        <w:rPr>
          <w:rFonts w:ascii="Times New Roman" w:cs="Times New Roman" w:eastAsia="Times New Roman" w:hAnsi="Times New Roman"/>
          <w:sz w:val="18"/>
          <w:szCs w:val="18"/>
          <w:color w:val="231F20"/>
        </w:rPr>
        <w:t>”). The First- instance Ruling is not yet effective until the appellate process is concluded.</w:t>
      </w:r>
    </w:p>
    <w:p>
      <w:pPr>
        <w:spacing w:after="0" w:line="183" w:lineRule="exact"/>
        <w:rPr>
          <w:sz w:val="20"/>
          <w:szCs w:val="20"/>
          <w:color w:val="auto"/>
        </w:rPr>
      </w:pPr>
    </w:p>
    <w:p>
      <w:pPr>
        <w:jc w:val="both"/>
        <w:ind w:left="652" w:right="20"/>
        <w:spacing w:after="0" w:line="282" w:lineRule="auto"/>
        <w:rPr>
          <w:sz w:val="20"/>
          <w:szCs w:val="20"/>
          <w:color w:val="auto"/>
        </w:rPr>
      </w:pPr>
      <w:r>
        <w:rPr>
          <w:rFonts w:ascii="Times New Roman" w:cs="Times New Roman" w:eastAsia="Times New Roman" w:hAnsi="Times New Roman"/>
          <w:sz w:val="18"/>
          <w:szCs w:val="18"/>
          <w:color w:val="231F20"/>
        </w:rPr>
        <w:t>Considering the judgement in the First-instance Ruling as of December 31, 2022, although it remains subject to appeal and applicable post-judgment proceedings, the Group reserved a contingent liability of RMB99.0 million.</w:t>
      </w:r>
    </w:p>
    <w:p>
      <w:pPr>
        <w:spacing w:after="0" w:line="162" w:lineRule="exact"/>
        <w:rPr>
          <w:sz w:val="20"/>
          <w:szCs w:val="20"/>
          <w:color w:val="auto"/>
        </w:rPr>
      </w:pPr>
    </w:p>
    <w:p>
      <w:pPr>
        <w:jc w:val="both"/>
        <w:ind w:left="652"/>
        <w:spacing w:after="0" w:line="266" w:lineRule="auto"/>
        <w:rPr>
          <w:sz w:val="20"/>
          <w:szCs w:val="20"/>
          <w:color w:val="auto"/>
        </w:rPr>
      </w:pPr>
      <w:r>
        <w:rPr>
          <w:rFonts w:ascii="Times New Roman" w:cs="Times New Roman" w:eastAsia="Times New Roman" w:hAnsi="Times New Roman"/>
          <w:sz w:val="18"/>
          <w:szCs w:val="18"/>
          <w:color w:val="231F20"/>
        </w:rPr>
        <w:t>In March 2024, the Group received the final ruling from the Appellate Court, which supports the First-instance Ruling and became effective immediately. As a result, the contingency was resolved and the payable for the litigation of RMB99.0 million was included in other current liabilities as of December 31, 2023. As of June 30, 2024, RMB38.7 million was paid for the litigation.</w:t>
      </w:r>
    </w:p>
    <w:p>
      <w:pPr>
        <w:spacing w:after="0" w:line="172"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b w:val="1"/>
          <w:bCs w:val="1"/>
          <w:i w:val="1"/>
          <w:iCs w:val="1"/>
          <w:color w:val="231F20"/>
        </w:rPr>
        <w:t>Others</w:t>
      </w:r>
    </w:p>
    <w:p>
      <w:pPr>
        <w:spacing w:after="0" w:line="229" w:lineRule="exact"/>
        <w:rPr>
          <w:sz w:val="20"/>
          <w:szCs w:val="20"/>
          <w:color w:val="auto"/>
        </w:rPr>
      </w:pPr>
    </w:p>
    <w:p>
      <w:pPr>
        <w:jc w:val="both"/>
        <w:ind w:left="652"/>
        <w:spacing w:after="0" w:line="266" w:lineRule="auto"/>
        <w:rPr>
          <w:sz w:val="20"/>
          <w:szCs w:val="20"/>
          <w:color w:val="auto"/>
        </w:rPr>
      </w:pPr>
      <w:r>
        <w:rPr>
          <w:rFonts w:ascii="Times New Roman" w:cs="Times New Roman" w:eastAsia="Times New Roman" w:hAnsi="Times New Roman"/>
          <w:sz w:val="18"/>
          <w:szCs w:val="18"/>
          <w:color w:val="231F20"/>
        </w:rPr>
        <w:t>The Group is subject to periodic legal or administrative proceedings in the ordinary course of business. Other than those related to the Camsing Incident and the litigation mentioned above, the Group does not have any pending legal or administrative proceedings to which the Group is a party that will have a material effect on its business or financial condition.</w:t>
      </w:r>
    </w:p>
    <w:p>
      <w:pPr>
        <w:spacing w:after="0" w:line="39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39" w:name="page40"/>
    <w:bookmarkEnd w:id="39"/>
    <w:p>
      <w:pPr>
        <w:ind w:left="620" w:hanging="612"/>
        <w:spacing w:after="0"/>
        <w:tabs>
          <w:tab w:leader="none" w:pos="620" w:val="left"/>
        </w:tabs>
        <w:numPr>
          <w:ilvl w:val="0"/>
          <w:numId w:val="13"/>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Segment Information</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231F20"/>
        </w:rPr>
        <w:t>The Group uses the management approach to determine operating segments. The management approach considers the internal organization and reporting used by the Group’s chief operating decision maker (“</w:t>
      </w:r>
      <w:r>
        <w:rPr>
          <w:rFonts w:ascii="Times New Roman" w:cs="Times New Roman" w:eastAsia="Times New Roman" w:hAnsi="Times New Roman"/>
          <w:sz w:val="18"/>
          <w:szCs w:val="18"/>
          <w:b w:val="1"/>
          <w:bCs w:val="1"/>
          <w:color w:val="231F20"/>
        </w:rPr>
        <w:t>CODM</w:t>
      </w:r>
      <w:r>
        <w:rPr>
          <w:rFonts w:ascii="Times New Roman" w:cs="Times New Roman" w:eastAsia="Times New Roman" w:hAnsi="Times New Roman"/>
          <w:sz w:val="18"/>
          <w:szCs w:val="18"/>
          <w:color w:val="231F20"/>
        </w:rPr>
        <w:t>”) for making decisions, allocating resources and assessing performance. The Group’s CODM has been identified as the chief executive officer, who reviews consolidated results including revenues, operating cost and expenses and income (loss) from operations when making decisions about allocating resources and assessing performance of the Group.</w:t>
      </w:r>
    </w:p>
    <w:p>
      <w:pPr>
        <w:spacing w:after="0" w:line="1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231F20"/>
        </w:rPr>
        <w:t>The Group believes it operates in three reportable segments: wealth management, asset management and, other business. The Group’s CODM does not review balance sheet information of the segments.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231F20"/>
              </w:rPr>
              <w:t>Segment information of the Group’s business is as follow:</w:t>
            </w: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6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8"/>
                <w:szCs w:val="18"/>
                <w:color w:val="auto"/>
              </w:rPr>
              <w:t>Six Months Ended June 30, 2023</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500" w:type="dxa"/>
            <w:vAlign w:val="bottom"/>
            <w:gridSpan w:val="2"/>
          </w:tcPr>
          <w:p>
            <w:pPr>
              <w:jc w:val="center"/>
              <w:ind w:right="320"/>
              <w:spacing w:after="0" w:line="191" w:lineRule="exact"/>
              <w:rPr>
                <w:sz w:val="20"/>
                <w:szCs w:val="20"/>
                <w:color w:val="auto"/>
              </w:rPr>
            </w:pPr>
            <w:r>
              <w:rPr>
                <w:rFonts w:ascii="Times New Roman" w:cs="Times New Roman" w:eastAsia="Times New Roman" w:hAnsi="Times New Roman"/>
                <w:sz w:val="18"/>
                <w:szCs w:val="18"/>
                <w:color w:val="auto"/>
                <w:w w:val="96"/>
              </w:rPr>
              <w:t>Wealth</w:t>
            </w:r>
          </w:p>
        </w:tc>
        <w:tc>
          <w:tcPr>
            <w:tcW w:w="1500" w:type="dxa"/>
            <w:vAlign w:val="bottom"/>
            <w:gridSpan w:val="2"/>
          </w:tcPr>
          <w:p>
            <w:pPr>
              <w:jc w:val="center"/>
              <w:ind w:right="300"/>
              <w:spacing w:after="0" w:line="191" w:lineRule="exact"/>
              <w:rPr>
                <w:sz w:val="20"/>
                <w:szCs w:val="20"/>
                <w:color w:val="auto"/>
              </w:rPr>
            </w:pPr>
            <w:r>
              <w:rPr>
                <w:rFonts w:ascii="Times New Roman" w:cs="Times New Roman" w:eastAsia="Times New Roman" w:hAnsi="Times New Roman"/>
                <w:sz w:val="18"/>
                <w:szCs w:val="18"/>
                <w:color w:val="auto"/>
              </w:rPr>
              <w:t>Assets</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Management</w:t>
            </w: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Management</w:t>
            </w: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Other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6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Business</w:t>
            </w: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Business</w:t>
            </w: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Businesses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4"/>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6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i w:val="1"/>
                <w:iCs w:val="1"/>
                <w:color w:val="auto"/>
                <w:w w:val="97"/>
              </w:rPr>
              <w:t>RMB</w:t>
            </w: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i w:val="1"/>
                <w:iCs w:val="1"/>
                <w:color w:val="auto"/>
                <w:w w:val="97"/>
              </w:rPr>
              <w:t>RMB</w:t>
            </w: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i w:val="1"/>
                <w:iCs w:val="1"/>
                <w:color w:val="auto"/>
                <w:w w:val="97"/>
              </w:rPr>
              <w:t>RMB</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7"/>
              </w:rPr>
              <w:t>RMB</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(Unaudited)</w:t>
            </w:r>
          </w:p>
        </w:tc>
        <w:tc>
          <w:tcPr>
            <w:tcW w:w="320" w:type="dxa"/>
            <w:vAlign w:val="bottom"/>
          </w:tcPr>
          <w:p>
            <w:pPr>
              <w:spacing w:after="0"/>
              <w:rPr>
                <w:sz w:val="18"/>
                <w:szCs w:val="18"/>
                <w:color w:val="auto"/>
              </w:rPr>
            </w:pPr>
          </w:p>
        </w:tc>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(Unaudited)</w:t>
            </w:r>
          </w:p>
        </w:tc>
        <w:tc>
          <w:tcPr>
            <w:tcW w:w="320" w:type="dxa"/>
            <w:vAlign w:val="bottom"/>
          </w:tcPr>
          <w:p>
            <w:pPr>
              <w:spacing w:after="0"/>
              <w:rPr>
                <w:sz w:val="18"/>
                <w:szCs w:val="18"/>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(Unaudited)</w:t>
            </w:r>
          </w:p>
        </w:tc>
        <w:tc>
          <w:tcPr>
            <w:tcW w:w="30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(Unaudited)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Times New Roman" w:cs="Times New Roman" w:eastAsia="Times New Roman" w:hAnsi="Times New Roman"/>
                <w:sz w:val="18"/>
                <w:szCs w:val="18"/>
                <w:color w:val="231F20"/>
              </w:rPr>
              <w:t>Revenues from others</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231F20"/>
              </w:rPr>
              <w:t>One-time commissions</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231F20"/>
              </w:rPr>
              <w:t>570,092</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231F20"/>
              </w:rPr>
              <w:t>–</w:t>
            </w: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231F2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31F20"/>
              </w:rPr>
              <w:t>570,092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Recurring service fees</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231F20"/>
              </w:rPr>
              <w:t>369,063</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231F20"/>
              </w:rPr>
              <w:t>–</w:t>
            </w: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231F2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369,063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231F20"/>
              </w:rPr>
              <w:t>Performance-based income</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231F20"/>
              </w:rPr>
              <w:t>7,758</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231F20"/>
              </w:rPr>
              <w:t>–</w:t>
            </w: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231F2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31F20"/>
              </w:rPr>
              <w:t>7,758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Other service fees</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231F20"/>
              </w:rPr>
              <w:t>109,358</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231F20"/>
              </w:rPr>
              <w:t>–</w:t>
            </w: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231F20"/>
              </w:rPr>
              <w:t>27,622</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136,980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8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 from others</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1,056,271</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27,622</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1,083,893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funds Gopher manages</w:t>
            </w: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One-time commissions</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231F20"/>
              </w:rPr>
              <w:t>9,382</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231F20"/>
              </w:rPr>
              <w:t>2,496</w:t>
            </w: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231F2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11,878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231F20"/>
              </w:rPr>
              <w:t>Recurring service fees</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231F20"/>
              </w:rPr>
              <w:t>201,459</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231F20"/>
              </w:rPr>
              <w:t>353,046</w:t>
            </w: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231F2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31F20"/>
              </w:rPr>
              <w:t>554,505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Performance-based income</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231F20"/>
              </w:rPr>
              <w:t>69,572</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231F20"/>
              </w:rPr>
              <w:t>34,388</w:t>
            </w: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231F2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103,960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8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 from funds Gopher manages</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280,413</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389,930</w:t>
            </w: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670,343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1,336,684</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389,930</w:t>
            </w: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27,622</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1,754,236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231F20"/>
              </w:rPr>
              <w:t>Less: VAT related surcharges and other taxes</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231F20"/>
              </w:rPr>
              <w:t>(4,513)</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231F20"/>
              </w:rPr>
              <w:t>(1,335)</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231F20"/>
              </w:rPr>
              <w:t>(3,158)</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231F20"/>
              </w:rPr>
              <w:t>(9,006)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1,332,171</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388,595</w:t>
            </w: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24,464</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1,745,230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 and expenses:</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0" w:type="dxa"/>
            <w:vAlign w:val="bottom"/>
          </w:tcPr>
          <w:p>
            <w:pPr>
              <w:spacing w:after="0"/>
              <w:rPr>
                <w:sz w:val="17"/>
                <w:szCs w:val="17"/>
                <w:color w:val="auto"/>
              </w:rPr>
            </w:pPr>
          </w:p>
        </w:tc>
        <w:tc>
          <w:tcPr>
            <w:tcW w:w="48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231F20"/>
              </w:rPr>
              <w:t>Compensation and benefits Relationship manager</w:t>
            </w: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(329,039</w:t>
            </w:r>
            <w:r>
              <w:rPr>
                <w:rFonts w:ascii="Times New Roman" w:cs="Times New Roman" w:eastAsia="Times New Roman" w:hAnsi="Times New Roman"/>
                <w:sz w:val="18"/>
                <w:szCs w:val="18"/>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86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compensation</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(318,562)</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(10,477)</w:t>
            </w: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Other compensations</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231F20"/>
              </w:rPr>
              <w:t>(273,312)</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231F20"/>
              </w:rPr>
              <w:t>(135,484)</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231F20"/>
              </w:rPr>
              <w:t>(17,373)</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231F20"/>
              </w:rPr>
              <w:t>(426,169)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compensation and benefits</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(591,874)</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(145,961)</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(17,373)</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(755,208</w:t>
            </w: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Times New Roman" w:cs="Times New Roman" w:eastAsia="Times New Roman" w:hAnsi="Times New Roman"/>
                <w:sz w:val="18"/>
                <w:szCs w:val="18"/>
                <w:color w:val="231F20"/>
              </w:rPr>
              <w:t>Selling expenses</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231F20"/>
              </w:rPr>
              <w:t>(156,882)</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231F20"/>
              </w:rPr>
              <w:t>(42,130)</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231F20"/>
              </w:rPr>
              <w:t>(9,660)</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231F20"/>
              </w:rPr>
              <w:t>(208,672)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231F20"/>
              </w:rPr>
              <w:t>General and administrative expenses</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231F20"/>
              </w:rPr>
              <w:t>(76,220)</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231F20"/>
              </w:rPr>
              <w:t>(23,092)</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231F20"/>
              </w:rPr>
              <w:t>(10,371)</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231F20"/>
              </w:rPr>
              <w:t>(109,683)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Times New Roman" w:cs="Times New Roman" w:eastAsia="Times New Roman" w:hAnsi="Times New Roman"/>
                <w:sz w:val="18"/>
                <w:szCs w:val="18"/>
                <w:color w:val="231F20"/>
              </w:rPr>
              <w:t>Reversal of credit losses</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231F20"/>
              </w:rPr>
              <w:t>2,881</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231F20"/>
              </w:rPr>
              <w:t>908</w:t>
            </w: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231F20"/>
              </w:rPr>
              <w:t>1,689</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5,478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231F20"/>
              </w:rPr>
              <w:t>Other operating expenses, net</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231F20"/>
              </w:rPr>
              <w:t>(16,575)</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231F20"/>
              </w:rPr>
              <w:t>(1,488)</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231F20"/>
              </w:rPr>
              <w:t>(49,812)</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231F20"/>
              </w:rPr>
              <w:t>(67,875)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Times New Roman" w:cs="Times New Roman" w:eastAsia="Times New Roman" w:hAnsi="Times New Roman"/>
                <w:sz w:val="18"/>
                <w:szCs w:val="18"/>
                <w:color w:val="231F20"/>
              </w:rPr>
              <w:t>Government subsidies</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231F20"/>
              </w:rPr>
              <w:t>11,170</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231F20"/>
              </w:rPr>
              <w:t>7,858</w:t>
            </w: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231F20"/>
              </w:rPr>
              <w:t>4</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19,032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8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cost and expenses</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(827,500)</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(203,905)</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(85,523)</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(1,116,928</w:t>
            </w: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486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CCEEFF"/>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30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15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504,671</w:t>
            </w:r>
          </w:p>
        </w:tc>
        <w:tc>
          <w:tcPr>
            <w:tcW w:w="15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184,690</w:t>
            </w:r>
          </w:p>
        </w:tc>
        <w:tc>
          <w:tcPr>
            <w:tcW w:w="146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628,302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4860" w:type="dxa"/>
            <w:vAlign w:val="bottom"/>
            <w:vMerge w:val="continue"/>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1460" w:type="dxa"/>
            <w:vAlign w:val="bottom"/>
            <w:gridSpan w:val="2"/>
          </w:tcPr>
          <w:p>
            <w:pPr>
              <w:jc w:val="right"/>
              <w:ind w:right="300"/>
              <w:spacing w:after="0" w:line="68" w:lineRule="exact"/>
              <w:rPr>
                <w:sz w:val="20"/>
                <w:szCs w:val="20"/>
                <w:color w:val="auto"/>
              </w:rPr>
            </w:pPr>
            <w:r>
              <w:rPr>
                <w:rFonts w:ascii="Times New Roman" w:cs="Times New Roman" w:eastAsia="Times New Roman" w:hAnsi="Times New Roman"/>
                <w:sz w:val="7"/>
                <w:szCs w:val="7"/>
                <w:color w:val="auto"/>
              </w:rPr>
              <w:t>(61,059</w:t>
            </w:r>
          </w:p>
        </w:tc>
        <w:tc>
          <w:tcPr>
            <w:tcW w:w="12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99"/>
              </w:rPr>
              <w:t>34</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500" w:type="dxa"/>
            <w:vAlign w:val="bottom"/>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Wealth</w:t>
            </w:r>
          </w:p>
        </w:tc>
        <w:tc>
          <w:tcPr>
            <w:tcW w:w="1500" w:type="dxa"/>
            <w:vAlign w:val="bottom"/>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Assets</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Management</w:t>
            </w: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Management</w:t>
            </w: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Businesses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i w:val="1"/>
                <w:iCs w:val="1"/>
                <w:color w:val="auto"/>
                <w:w w:val="99"/>
              </w:rPr>
              <w:t>RMB</w:t>
            </w: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i w:val="1"/>
                <w:iCs w:val="1"/>
                <w:color w:val="auto"/>
                <w:w w:val="99"/>
              </w:rPr>
              <w:t>RMB</w:t>
            </w: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i w:val="1"/>
                <w:iCs w:val="1"/>
                <w:color w:val="auto"/>
                <w:w w:val="99"/>
              </w:rPr>
              <w:t>RMB</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i w:val="1"/>
                <w:iCs w:val="1"/>
                <w:color w:val="auto"/>
                <w:w w:val="99"/>
              </w:rPr>
              <w:t>RMB</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20" w:type="dxa"/>
            <w:vAlign w:val="bottom"/>
          </w:tcPr>
          <w:p>
            <w:pPr>
              <w:spacing w:after="0"/>
              <w:rPr>
                <w:sz w:val="18"/>
                <w:szCs w:val="18"/>
                <w:color w:val="auto"/>
              </w:rPr>
            </w:pPr>
          </w:p>
        </w:tc>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20" w:type="dxa"/>
            <w:vAlign w:val="bottom"/>
          </w:tcPr>
          <w:p>
            <w:pPr>
              <w:spacing w:after="0"/>
              <w:rPr>
                <w:sz w:val="18"/>
                <w:szCs w:val="18"/>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0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Revenues from others</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231F20"/>
              </w:rPr>
              <w:t>One-time commissions</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231F20"/>
              </w:rPr>
              <w:t>313,149</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231F20"/>
              </w:rPr>
              <w:t>–</w:t>
            </w: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231F2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313,149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tcPr>
          <w:p>
            <w:pPr>
              <w:ind w:left="400"/>
              <w:spacing w:after="0"/>
              <w:rPr>
                <w:sz w:val="20"/>
                <w:szCs w:val="20"/>
                <w:color w:val="auto"/>
              </w:rPr>
            </w:pPr>
            <w:r>
              <w:rPr>
                <w:rFonts w:ascii="Times New Roman" w:cs="Times New Roman" w:eastAsia="Times New Roman" w:hAnsi="Times New Roman"/>
                <w:sz w:val="18"/>
                <w:szCs w:val="18"/>
                <w:color w:val="231F20"/>
              </w:rPr>
              <w:t>Recurring service fees</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231F20"/>
              </w:rPr>
              <w:t>306,634</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231F20"/>
              </w:rPr>
              <w:t>–</w:t>
            </w: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231F2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306,634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231F20"/>
              </w:rPr>
              <w:t>Performance-based income</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231F20"/>
              </w:rPr>
              <w:t>10,043</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231F20"/>
              </w:rPr>
              <w:t>–</w:t>
            </w: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231F2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10,043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tcPr>
          <w:p>
            <w:pPr>
              <w:ind w:left="400"/>
              <w:spacing w:after="0"/>
              <w:rPr>
                <w:sz w:val="20"/>
                <w:szCs w:val="20"/>
                <w:color w:val="auto"/>
              </w:rPr>
            </w:pPr>
            <w:r>
              <w:rPr>
                <w:rFonts w:ascii="Times New Roman" w:cs="Times New Roman" w:eastAsia="Times New Roman" w:hAnsi="Times New Roman"/>
                <w:sz w:val="18"/>
                <w:szCs w:val="18"/>
                <w:color w:val="231F20"/>
              </w:rPr>
              <w:t>Other service fees</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231F20"/>
              </w:rPr>
              <w:t>65,093</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231F20"/>
              </w:rPr>
              <w:t>–</w:t>
            </w: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231F20"/>
              </w:rPr>
              <w:t>19,817</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84,910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 from others</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694,919</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19,817</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714,736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funds Gopher manages</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231F20"/>
              </w:rPr>
              <w:t>One-time commissions</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231F20"/>
              </w:rPr>
              <w:t>10,912</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231F20"/>
              </w:rPr>
              <w:t>44</w:t>
            </w: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231F2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10,956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Recurring service fees</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231F20"/>
              </w:rPr>
              <w:t>174,884</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231F20"/>
              </w:rPr>
              <w:t>342,010</w:t>
            </w: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231F2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516,894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231F20"/>
              </w:rPr>
              <w:t>Performance-based income</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231F20"/>
              </w:rPr>
              <w:t>1,039</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231F20"/>
              </w:rPr>
              <w:t>31,218</w:t>
            </w: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231F2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32,257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 from funds Gopher manages</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186,835</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373,272</w:t>
            </w: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560,107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881,754</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373,272</w:t>
            </w: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19,817</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1,274,843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Less: VAT related surcharges and other taxes</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231F20"/>
              </w:rPr>
              <w:t>(3,448)</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231F20"/>
              </w:rPr>
              <w:t>(602)</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231F20"/>
              </w:rPr>
              <w:t>(5,404)</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231F20"/>
              </w:rPr>
              <w:t>(9,454)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8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878,306</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372,670</w:t>
            </w: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14,413</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1,265,389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 and expenses:</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0" w:type="dxa"/>
            <w:vAlign w:val="bottom"/>
          </w:tcPr>
          <w:p>
            <w:pPr>
              <w:spacing w:after="0"/>
              <w:rPr>
                <w:sz w:val="17"/>
                <w:szCs w:val="17"/>
                <w:color w:val="auto"/>
              </w:rPr>
            </w:pPr>
          </w:p>
        </w:tc>
        <w:tc>
          <w:tcPr>
            <w:tcW w:w="486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231F20"/>
              </w:rPr>
              <w:t>Compensation and benefits Relationship manager</w:t>
            </w:r>
          </w:p>
        </w:tc>
        <w:tc>
          <w:tcPr>
            <w:tcW w:w="15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(261,501)</w:t>
            </w:r>
          </w:p>
        </w:tc>
        <w:tc>
          <w:tcPr>
            <w:tcW w:w="15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(14,299)</w:t>
            </w:r>
          </w:p>
        </w:tc>
        <w:tc>
          <w:tcPr>
            <w:tcW w:w="14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(275,800)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8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231F20"/>
              </w:rPr>
              <w:t>compensation</w:t>
            </w:r>
          </w:p>
        </w:tc>
        <w:tc>
          <w:tcPr>
            <w:tcW w:w="1500" w:type="dxa"/>
            <w:vAlign w:val="bottom"/>
            <w:gridSpan w:val="2"/>
            <w:vMerge w:val="continue"/>
            <w:shd w:val="clear" w:color="auto" w:fill="CCEEFF"/>
          </w:tcPr>
          <w:p>
            <w:pPr>
              <w:spacing w:after="0"/>
              <w:rPr>
                <w:sz w:val="20"/>
                <w:szCs w:val="20"/>
                <w:color w:val="auto"/>
              </w:rPr>
            </w:pPr>
          </w:p>
        </w:tc>
        <w:tc>
          <w:tcPr>
            <w:tcW w:w="1500" w:type="dxa"/>
            <w:vAlign w:val="bottom"/>
            <w:gridSpan w:val="2"/>
            <w:vMerge w:val="continue"/>
            <w:shd w:val="clear" w:color="auto" w:fill="CCEEFF"/>
          </w:tcPr>
          <w:p>
            <w:pPr>
              <w:spacing w:after="0"/>
              <w:rPr>
                <w:sz w:val="20"/>
                <w:szCs w:val="20"/>
                <w:color w:val="auto"/>
              </w:rPr>
            </w:pPr>
          </w:p>
        </w:tc>
        <w:tc>
          <w:tcPr>
            <w:tcW w:w="1460" w:type="dxa"/>
            <w:vAlign w:val="bottom"/>
            <w:gridSpan w:val="2"/>
            <w:vMerge w:val="continue"/>
            <w:shd w:val="clear" w:color="auto" w:fill="CCEEFF"/>
          </w:tcPr>
          <w:p>
            <w:pPr>
              <w:spacing w:after="0"/>
              <w:rPr>
                <w:sz w:val="20"/>
                <w:szCs w:val="20"/>
                <w:color w:val="auto"/>
              </w:rPr>
            </w:pPr>
          </w:p>
        </w:tc>
        <w:tc>
          <w:tcPr>
            <w:tcW w:w="1240" w:type="dxa"/>
            <w:vAlign w:val="bottom"/>
            <w:gridSpan w:val="2"/>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tcPr>
          <w:p>
            <w:pPr>
              <w:ind w:left="400"/>
              <w:spacing w:after="0"/>
              <w:rPr>
                <w:sz w:val="20"/>
                <w:szCs w:val="20"/>
                <w:color w:val="auto"/>
              </w:rPr>
            </w:pPr>
            <w:r>
              <w:rPr>
                <w:rFonts w:ascii="Times New Roman" w:cs="Times New Roman" w:eastAsia="Times New Roman" w:hAnsi="Times New Roman"/>
                <w:sz w:val="18"/>
                <w:szCs w:val="18"/>
                <w:color w:val="231F20"/>
              </w:rPr>
              <w:t>Other compensations</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231F20"/>
              </w:rPr>
              <w:t>(278,814)</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231F20"/>
              </w:rPr>
              <w:t>(109,833)</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231F20"/>
              </w:rPr>
              <w:t>(21,348)</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231F20"/>
              </w:rPr>
              <w:t>(409,995)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Total compensation and benefits</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(540,315)</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(124,132)</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(21,348)</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(685,795)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231F20"/>
              </w:rPr>
              <w:t>Selling expenses</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231F20"/>
              </w:rPr>
              <w:t>(90,850)</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231F20"/>
              </w:rPr>
              <w:t>(24,236)</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231F20"/>
              </w:rPr>
              <w:t>(9,136)</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231F20"/>
              </w:rPr>
              <w:t>(124,222)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General and administrative expenses</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231F20"/>
              </w:rPr>
              <w:t>(97,216)</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231F20"/>
              </w:rPr>
              <w:t>(32,961)</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231F20"/>
              </w:rPr>
              <w:t>(20,841)</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231F20"/>
              </w:rPr>
              <w:t>(151,018)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231F20"/>
              </w:rPr>
              <w:t>(Provision for) reversal of credit losses</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231F20"/>
              </w:rPr>
              <w:t>(4,675)</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231F20"/>
              </w:rPr>
              <w:t>(918)</w:t>
            </w: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231F20"/>
              </w:rPr>
              <w:t>6,021</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Other operating expenses, net</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231F20"/>
              </w:rPr>
              <w:t>(23,823)</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231F20"/>
              </w:rPr>
              <w:t>(23,461)</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231F20"/>
              </w:rPr>
              <w:t>(15,869)</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231F20"/>
              </w:rPr>
              <w:t>(63,153)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231F20"/>
              </w:rPr>
              <w:t>Government subsidies</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231F20"/>
              </w:rPr>
              <w:t>9,329</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231F20"/>
              </w:rPr>
              <w:t>4,436</w:t>
            </w: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231F20"/>
              </w:rPr>
              <w:t>107</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13,872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cost and expenses</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(747,550)</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(201,272)</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(61,066)</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(1,009,888)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60" w:type="dxa"/>
            <w:vAlign w:val="bottom"/>
          </w:tcPr>
          <w:p>
            <w:pPr>
              <w:spacing w:after="0"/>
              <w:rPr>
                <w:sz w:val="22"/>
                <w:szCs w:val="22"/>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130,756</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171,398</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(46,653)</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255,501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6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99"/>
              </w:rPr>
              <w:t>35</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14" w:right="339" w:bottom="1440" w:gutter="0" w:footer="0" w:header="0"/>
        </w:sectPr>
      </w:pPr>
    </w:p>
    <w:bookmarkStart w:id="41" w:name="page42"/>
    <w:bookmarkEnd w:id="41"/>
    <w:p>
      <w:pPr>
        <w:ind w:left="652"/>
        <w:spacing w:after="0"/>
        <w:rPr>
          <w:sz w:val="20"/>
          <w:szCs w:val="20"/>
          <w:color w:val="auto"/>
        </w:rPr>
      </w:pPr>
      <w:r>
        <w:rPr>
          <w:rFonts w:ascii="Times New Roman" w:cs="Times New Roman" w:eastAsia="Times New Roman" w:hAnsi="Times New Roman"/>
          <w:sz w:val="17"/>
          <w:szCs w:val="17"/>
          <w:color w:val="231F20"/>
        </w:rPr>
        <w:t>The following table summarizes the Group’s revenues generated by the different geographic location.</w:t>
      </w:r>
    </w:p>
    <w:p>
      <w:pPr>
        <w:sectPr>
          <w:pgSz w:w="11900" w:h="16838" w:orient="portrait"/>
          <w:cols w:equalWidth="0" w:num="1">
            <w:col w:w="11232"/>
          </w:cols>
          <w:pgMar w:left="328"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7"/>
          <w:szCs w:val="17"/>
          <w:color w:val="231F20"/>
        </w:rPr>
        <w:t>Mainland China</w:t>
      </w:r>
    </w:p>
    <w:p>
      <w:pPr>
        <w:spacing w:after="0" w:line="3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231F20"/>
        </w:rPr>
        <w:t>Overseas</w:t>
      </w:r>
    </w:p>
    <w:p>
      <w:pPr>
        <w:spacing w:after="0" w:line="243"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b w:val="1"/>
          <w:bCs w:val="1"/>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7"/>
          <w:szCs w:val="17"/>
          <w:color w:val="231F20"/>
        </w:rPr>
        <w:t>Mainland China</w:t>
      </w:r>
    </w:p>
    <w:p>
      <w:pPr>
        <w:spacing w:after="0" w:line="3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231F20"/>
        </w:rPr>
        <w:t>Overseas</w:t>
      </w:r>
    </w:p>
    <w:p>
      <w:pPr>
        <w:spacing w:after="0" w:line="284"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b w:val="1"/>
          <w:bCs w:val="1"/>
          <w:color w:val="auto"/>
        </w:rPr>
        <w:t>Total revenues</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231F20"/>
        </w:rPr>
        <w:t>Six Months Ended June 30, 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center"/>
              <w:ind w:right="440"/>
              <w:spacing w:after="0" w:line="191" w:lineRule="exact"/>
              <w:rPr>
                <w:sz w:val="20"/>
                <w:szCs w:val="20"/>
                <w:color w:val="auto"/>
              </w:rPr>
            </w:pPr>
            <w:r>
              <w:rPr>
                <w:rFonts w:ascii="Times New Roman" w:cs="Times New Roman" w:eastAsia="Times New Roman" w:hAnsi="Times New Roman"/>
                <w:sz w:val="18"/>
                <w:szCs w:val="18"/>
                <w:color w:val="231F20"/>
                <w:w w:val="96"/>
              </w:rPr>
              <w:t>Wealth</w:t>
            </w: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center"/>
              <w:ind w:right="420"/>
              <w:spacing w:after="0" w:line="191" w:lineRule="exact"/>
              <w:rPr>
                <w:sz w:val="20"/>
                <w:szCs w:val="20"/>
                <w:color w:val="auto"/>
              </w:rPr>
            </w:pPr>
            <w:r>
              <w:rPr>
                <w:rFonts w:ascii="Times New Roman" w:cs="Times New Roman" w:eastAsia="Times New Roman" w:hAnsi="Times New Roman"/>
                <w:sz w:val="18"/>
                <w:szCs w:val="18"/>
                <w:color w:val="231F20"/>
              </w:rPr>
              <w:t>Assets</w:t>
            </w: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231F20"/>
                <w:w w:val="99"/>
              </w:rPr>
              <w:t>Management</w:t>
            </w:r>
          </w:p>
        </w:tc>
        <w:tc>
          <w:tcPr>
            <w:tcW w:w="120" w:type="dxa"/>
            <w:vAlign w:val="bottom"/>
          </w:tcPr>
          <w:p>
            <w:pPr>
              <w:spacing w:after="0"/>
              <w:rPr>
                <w:sz w:val="18"/>
                <w:szCs w:val="18"/>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231F20"/>
                <w:w w:val="99"/>
              </w:rPr>
              <w:t>Management</w:t>
            </w:r>
          </w:p>
        </w:tc>
        <w:tc>
          <w:tcPr>
            <w:tcW w:w="10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231F20"/>
                <w:w w:val="97"/>
              </w:rPr>
              <w:t>Other</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8"/>
        </w:trPr>
        <w:tc>
          <w:tcPr>
            <w:tcW w:w="120" w:type="dxa"/>
            <w:vAlign w:val="bottom"/>
          </w:tcPr>
          <w:p>
            <w:pPr>
              <w:spacing w:after="0"/>
              <w:rPr>
                <w:sz w:val="19"/>
                <w:szCs w:val="19"/>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231F20"/>
                <w:w w:val="99"/>
              </w:rPr>
              <w:t>Business</w:t>
            </w:r>
          </w:p>
        </w:tc>
        <w:tc>
          <w:tcPr>
            <w:tcW w:w="120" w:type="dxa"/>
            <w:vAlign w:val="bottom"/>
          </w:tcPr>
          <w:p>
            <w:pPr>
              <w:spacing w:after="0"/>
              <w:rPr>
                <w:sz w:val="19"/>
                <w:szCs w:val="19"/>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231F20"/>
                <w:w w:val="99"/>
              </w:rPr>
              <w:t>Business</w:t>
            </w:r>
          </w:p>
        </w:tc>
        <w:tc>
          <w:tcPr>
            <w:tcW w:w="100" w:type="dxa"/>
            <w:vAlign w:val="bottom"/>
          </w:tcPr>
          <w:p>
            <w:pPr>
              <w:spacing w:after="0"/>
              <w:rPr>
                <w:sz w:val="19"/>
                <w:szCs w:val="19"/>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231F20"/>
              </w:rPr>
              <w:t>Businesses</w:t>
            </w:r>
          </w:p>
        </w:tc>
        <w:tc>
          <w:tcPr>
            <w:tcW w:w="80" w:type="dxa"/>
            <w:vAlign w:val="bottom"/>
          </w:tcPr>
          <w:p>
            <w:pPr>
              <w:spacing w:after="0"/>
              <w:rPr>
                <w:sz w:val="19"/>
                <w:szCs w:val="19"/>
                <w:color w:val="auto"/>
              </w:rPr>
            </w:pPr>
          </w:p>
        </w:tc>
        <w:tc>
          <w:tcPr>
            <w:tcW w:w="10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231F20"/>
                <w:w w:val="94"/>
              </w:rPr>
              <w:t>Total</w:t>
            </w:r>
          </w:p>
        </w:tc>
      </w:tr>
      <w:tr>
        <w:trPr>
          <w:trHeight w:val="236"/>
        </w:trPr>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i w:val="1"/>
                <w:iCs w:val="1"/>
                <w:color w:val="231F20"/>
                <w:w w:val="97"/>
              </w:rPr>
              <w:t>RMB</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i w:val="1"/>
                <w:iCs w:val="1"/>
                <w:color w:val="231F20"/>
                <w:w w:val="97"/>
              </w:rPr>
              <w:t>RMB</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i w:val="1"/>
                <w:iCs w:val="1"/>
                <w:color w:val="231F20"/>
                <w:w w:val="97"/>
              </w:rPr>
              <w:t>RMB</w:t>
            </w:r>
          </w:p>
        </w:tc>
        <w:tc>
          <w:tcPr>
            <w:tcW w:w="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i w:val="1"/>
                <w:iCs w:val="1"/>
                <w:color w:val="231F20"/>
                <w:w w:val="97"/>
              </w:rPr>
              <w:t>RMB</w:t>
            </w:r>
          </w:p>
        </w:tc>
      </w:tr>
      <w:tr>
        <w:trPr>
          <w:trHeight w:val="218"/>
        </w:trPr>
        <w:tc>
          <w:tcPr>
            <w:tcW w:w="120" w:type="dxa"/>
            <w:vAlign w:val="bottom"/>
          </w:tcPr>
          <w:p>
            <w:pPr>
              <w:spacing w:after="0"/>
              <w:rPr>
                <w:sz w:val="18"/>
                <w:szCs w:val="18"/>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231F20"/>
              </w:rPr>
              <w:t>(Unaudited)</w:t>
            </w:r>
          </w:p>
        </w:tc>
        <w:tc>
          <w:tcPr>
            <w:tcW w:w="120" w:type="dxa"/>
            <w:vAlign w:val="bottom"/>
          </w:tcPr>
          <w:p>
            <w:pPr>
              <w:spacing w:after="0"/>
              <w:rPr>
                <w:sz w:val="18"/>
                <w:szCs w:val="18"/>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231F20"/>
                <w:w w:val="98"/>
              </w:rPr>
              <w:t>(Unaudited)</w:t>
            </w:r>
          </w:p>
        </w:tc>
        <w:tc>
          <w:tcPr>
            <w:tcW w:w="10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231F20"/>
              </w:rPr>
              <w:t>(Unaudited)</w:t>
            </w:r>
          </w:p>
        </w:tc>
        <w:tc>
          <w:tcPr>
            <w:tcW w:w="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8"/>
              </w:rPr>
              <w:t>(Unaudited)</w:t>
            </w:r>
          </w:p>
        </w:tc>
      </w:tr>
      <w:tr>
        <w:trPr>
          <w:trHeight w:val="229"/>
        </w:trPr>
        <w:tc>
          <w:tcPr>
            <w:tcW w:w="15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231F20"/>
              </w:rPr>
              <w:t>769,852</w:t>
            </w:r>
          </w:p>
        </w:tc>
        <w:tc>
          <w:tcPr>
            <w:tcW w:w="15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231F20"/>
              </w:rPr>
              <w:t>241,863</w:t>
            </w:r>
          </w:p>
        </w:tc>
        <w:tc>
          <w:tcPr>
            <w:tcW w:w="14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231F20"/>
              </w:rPr>
              <w:t>27,622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1,039,337</w:t>
            </w:r>
          </w:p>
        </w:tc>
      </w:tr>
      <w:tr>
        <w:trPr>
          <w:trHeight w:val="234"/>
        </w:trPr>
        <w:tc>
          <w:tcPr>
            <w:tcW w:w="15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231F20"/>
              </w:rPr>
              <w:t>566,832</w:t>
            </w:r>
          </w:p>
        </w:tc>
        <w:tc>
          <w:tcPr>
            <w:tcW w:w="15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231F20"/>
              </w:rPr>
              <w:t>148,067</w:t>
            </w:r>
          </w:p>
        </w:tc>
        <w:tc>
          <w:tcPr>
            <w:tcW w:w="100" w:type="dxa"/>
            <w:vAlign w:val="bottom"/>
          </w:tcPr>
          <w:p>
            <w:pPr>
              <w:spacing w:after="0"/>
              <w:rPr>
                <w:sz w:val="20"/>
                <w:szCs w:val="20"/>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231F20"/>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714,899</w:t>
            </w:r>
          </w:p>
        </w:tc>
      </w:tr>
      <w:tr>
        <w:trPr>
          <w:trHeight w:val="20"/>
        </w:trPr>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426"/>
        </w:trPr>
        <w:tc>
          <w:tcPr>
            <w:tcW w:w="15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1,336,684</w:t>
            </w:r>
          </w:p>
        </w:tc>
        <w:tc>
          <w:tcPr>
            <w:tcW w:w="15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389,930</w:t>
            </w:r>
          </w:p>
        </w:tc>
        <w:tc>
          <w:tcPr>
            <w:tcW w:w="14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27,622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1,754,236</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453"/>
        </w:trPr>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87"/>
        </w:trPr>
        <w:tc>
          <w:tcPr>
            <w:tcW w:w="120" w:type="dxa"/>
            <w:vAlign w:val="bottom"/>
          </w:tcPr>
          <w:p>
            <w:pPr>
              <w:spacing w:after="0"/>
              <w:rPr>
                <w:sz w:val="16"/>
                <w:szCs w:val="16"/>
                <w:color w:val="auto"/>
              </w:rPr>
            </w:pPr>
          </w:p>
        </w:tc>
        <w:tc>
          <w:tcPr>
            <w:tcW w:w="1380" w:type="dxa"/>
            <w:vAlign w:val="bottom"/>
            <w:gridSpan w:val="2"/>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231F20"/>
                <w:w w:val="99"/>
              </w:rPr>
              <w:t>Wealth</w:t>
            </w:r>
          </w:p>
        </w:tc>
        <w:tc>
          <w:tcPr>
            <w:tcW w:w="120" w:type="dxa"/>
            <w:vAlign w:val="bottom"/>
          </w:tcPr>
          <w:p>
            <w:pPr>
              <w:spacing w:after="0"/>
              <w:rPr>
                <w:sz w:val="16"/>
                <w:szCs w:val="16"/>
                <w:color w:val="auto"/>
              </w:rPr>
            </w:pPr>
          </w:p>
        </w:tc>
        <w:tc>
          <w:tcPr>
            <w:tcW w:w="1380" w:type="dxa"/>
            <w:vAlign w:val="bottom"/>
            <w:gridSpan w:val="2"/>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231F20"/>
                <w:w w:val="99"/>
              </w:rPr>
              <w:t>Assets</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6"/>
        </w:trPr>
        <w:tc>
          <w:tcPr>
            <w:tcW w:w="15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231F20"/>
                <w:w w:val="98"/>
              </w:rPr>
              <w:t>Management</w:t>
            </w:r>
          </w:p>
        </w:tc>
        <w:tc>
          <w:tcPr>
            <w:tcW w:w="15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231F20"/>
                <w:w w:val="98"/>
              </w:rPr>
              <w:t>Management</w:t>
            </w:r>
          </w:p>
        </w:tc>
        <w:tc>
          <w:tcPr>
            <w:tcW w:w="10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231F20"/>
                <w:w w:val="99"/>
              </w:rPr>
              <w:t>Other</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1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10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Businesses</w:t>
            </w:r>
          </w:p>
        </w:tc>
        <w:tc>
          <w:tcPr>
            <w:tcW w:w="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38"/>
        </w:trPr>
        <w:tc>
          <w:tcPr>
            <w:tcW w:w="12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RMB</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RMB</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RMB</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RMB</w:t>
            </w:r>
          </w:p>
        </w:tc>
      </w:tr>
      <w:tr>
        <w:trPr>
          <w:trHeight w:val="214"/>
        </w:trPr>
        <w:tc>
          <w:tcPr>
            <w:tcW w:w="1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231F20"/>
              </w:rPr>
              <w:t>(Unaudited)</w:t>
            </w:r>
          </w:p>
        </w:tc>
        <w:tc>
          <w:tcPr>
            <w:tcW w:w="1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231F20"/>
              </w:rPr>
              <w:t>(Unaudited)</w:t>
            </w:r>
          </w:p>
        </w:tc>
        <w:tc>
          <w:tcPr>
            <w:tcW w:w="1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231F20"/>
              </w:rPr>
              <w:t>(Unaudited)</w:t>
            </w:r>
          </w:p>
        </w:tc>
        <w:tc>
          <w:tcPr>
            <w:tcW w:w="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rPr>
              <w:t>(Unaudited)</w:t>
            </w:r>
          </w:p>
        </w:tc>
      </w:tr>
      <w:tr>
        <w:trPr>
          <w:trHeight w:val="229"/>
        </w:trPr>
        <w:tc>
          <w:tcPr>
            <w:tcW w:w="15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231F20"/>
              </w:rPr>
              <w:t>454,207</w:t>
            </w:r>
          </w:p>
        </w:tc>
        <w:tc>
          <w:tcPr>
            <w:tcW w:w="15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231F20"/>
              </w:rPr>
              <w:t>215,430</w:t>
            </w:r>
          </w:p>
        </w:tc>
        <w:tc>
          <w:tcPr>
            <w:tcW w:w="14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231F20"/>
              </w:rPr>
              <w:t>19,817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231F20"/>
              </w:rPr>
              <w:t>689,454</w:t>
            </w:r>
          </w:p>
        </w:tc>
      </w:tr>
      <w:tr>
        <w:trPr>
          <w:trHeight w:val="238"/>
        </w:trPr>
        <w:tc>
          <w:tcPr>
            <w:tcW w:w="15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231F20"/>
              </w:rPr>
              <w:t>427,547</w:t>
            </w:r>
          </w:p>
        </w:tc>
        <w:tc>
          <w:tcPr>
            <w:tcW w:w="15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231F20"/>
              </w:rPr>
              <w:t>157,842</w:t>
            </w:r>
          </w:p>
        </w:tc>
        <w:tc>
          <w:tcPr>
            <w:tcW w:w="100" w:type="dxa"/>
            <w:vAlign w:val="bottom"/>
          </w:tcPr>
          <w:p>
            <w:pPr>
              <w:spacing w:after="0"/>
              <w:rPr>
                <w:sz w:val="20"/>
                <w:szCs w:val="20"/>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231F20"/>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231F20"/>
              </w:rPr>
              <w:t>585,389</w:t>
            </w:r>
          </w:p>
        </w:tc>
      </w:tr>
      <w:tr>
        <w:trPr>
          <w:trHeight w:val="20"/>
        </w:trPr>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466"/>
        </w:trPr>
        <w:tc>
          <w:tcPr>
            <w:tcW w:w="15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881,754</w:t>
            </w:r>
          </w:p>
        </w:tc>
        <w:tc>
          <w:tcPr>
            <w:tcW w:w="15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373,272</w:t>
            </w:r>
          </w:p>
        </w:tc>
        <w:tc>
          <w:tcPr>
            <w:tcW w:w="14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19,817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1,274,843</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-2228215</wp:posOffset>
            </wp:positionV>
            <wp:extent cx="6703695"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03695" cy="137160"/>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-1945005</wp:posOffset>
            </wp:positionV>
            <wp:extent cx="6703695"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03695" cy="145415"/>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-616585</wp:posOffset>
            </wp:positionV>
            <wp:extent cx="6703695"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03695" cy="137160"/>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-334010</wp:posOffset>
            </wp:positionV>
            <wp:extent cx="6703695"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03695" cy="17145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792" w:space="720"/>
            <w:col w:w="5720"/>
          </w:cols>
          <w:pgMar w:left="328" w:top="904" w:right="339" w:bottom="1440" w:gutter="0" w:footer="0" w:header="0"/>
          <w:type w:val="continuous"/>
        </w:sectPr>
      </w:pPr>
    </w:p>
    <w:p>
      <w:pPr>
        <w:ind w:left="652"/>
        <w:spacing w:after="0"/>
        <w:rPr>
          <w:sz w:val="20"/>
          <w:szCs w:val="20"/>
          <w:color w:val="auto"/>
        </w:rPr>
      </w:pPr>
      <w:r>
        <w:rPr>
          <w:rFonts w:ascii="Times New Roman" w:cs="Times New Roman" w:eastAsia="Times New Roman" w:hAnsi="Times New Roman"/>
          <w:sz w:val="18"/>
          <w:szCs w:val="18"/>
          <w:color w:val="231F20"/>
        </w:rPr>
        <w:t>Substantially all of the Group’s revenues are derived from, and its assets are located in the Mainland China and Hong Kong.</w:t>
      </w:r>
    </w:p>
    <w:p>
      <w:pPr>
        <w:spacing w:after="0" w:line="221" w:lineRule="exact"/>
        <w:rPr>
          <w:sz w:val="20"/>
          <w:szCs w:val="20"/>
          <w:color w:val="auto"/>
        </w:rPr>
      </w:pPr>
    </w:p>
    <w:p>
      <w:pPr>
        <w:ind w:left="612" w:hanging="612"/>
        <w:spacing w:after="0"/>
        <w:tabs>
          <w:tab w:leader="none" w:pos="612" w:val="left"/>
        </w:tabs>
        <w:numPr>
          <w:ilvl w:val="0"/>
          <w:numId w:val="14"/>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Dividends</w:t>
      </w:r>
    </w:p>
    <w:p>
      <w:pPr>
        <w:spacing w:after="0" w:line="229" w:lineRule="exact"/>
        <w:rPr>
          <w:sz w:val="20"/>
          <w:szCs w:val="20"/>
          <w:color w:val="auto"/>
        </w:rPr>
      </w:pPr>
    </w:p>
    <w:p>
      <w:pPr>
        <w:jc w:val="both"/>
        <w:ind w:left="652"/>
        <w:spacing w:after="0" w:line="266" w:lineRule="auto"/>
        <w:rPr>
          <w:sz w:val="20"/>
          <w:szCs w:val="20"/>
          <w:color w:val="auto"/>
        </w:rPr>
      </w:pPr>
      <w:r>
        <w:rPr>
          <w:rFonts w:ascii="Times New Roman" w:cs="Times New Roman" w:eastAsia="Times New Roman" w:hAnsi="Times New Roman"/>
          <w:sz w:val="18"/>
          <w:szCs w:val="18"/>
          <w:color w:val="231F20"/>
        </w:rPr>
        <w:t>The aggregate amount of the 2023 final dividend and non-recurring special dividend declared in the interim period amounted to approximately RMB1,018.0 million which were not paid as of June 30, 2024. As of the date of this announcement, all the dividends have been paid. The Company did not make any interim dividend recommendation for the six months ended June 30, 2024.</w:t>
      </w:r>
    </w:p>
    <w:p>
      <w:pPr>
        <w:spacing w:after="0" w:line="39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231F20"/>
        </w:rPr>
        <w:t>DEFINITION AND ACRONYM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In this announcement, unless the context otherwise requires, the following expressions should have the following meanings:</w:t>
      </w:r>
    </w:p>
    <w:p>
      <w:pPr>
        <w:sectPr>
          <w:pgSz w:w="11900" w:h="16838" w:orient="portrait"/>
          <w:cols w:equalWidth="0" w:num="1">
            <w:col w:w="11240"/>
          </w:cols>
          <w:pgMar w:left="320" w:top="900" w:right="33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Share Incentive Plan”</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2022 share incentive plan adopted on the annual general meeting held on December 16, 2022 with effect from December 23, 2022 and filed with the SEC on December 23, 2022</w:t>
      </w:r>
    </w:p>
    <w:p>
      <w:pPr>
        <w:spacing w:after="0" w:line="162" w:lineRule="exact"/>
        <w:rPr>
          <w:sz w:val="20"/>
          <w:szCs w:val="20"/>
          <w:color w:val="auto"/>
        </w:rPr>
      </w:pPr>
    </w:p>
    <w:p>
      <w:pPr>
        <w:sectPr>
          <w:pgSz w:w="11900" w:h="16838" w:orient="portrait"/>
          <w:cols w:equalWidth="0" w:num="2">
            <w:col w:w="2660" w:space="720"/>
            <w:col w:w="7860"/>
          </w:cols>
          <w:pgMar w:left="320" w:top="90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“ADS(s)”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American Depositary Shares (one ADS representing five Shares)</w:t>
      </w:r>
    </w:p>
    <w:p>
      <w:pPr>
        <w:spacing w:after="0" w:line="211" w:lineRule="exact"/>
        <w:rPr>
          <w:sz w:val="20"/>
          <w:szCs w:val="20"/>
          <w:color w:val="auto"/>
        </w:rPr>
      </w:pPr>
    </w:p>
    <w:p>
      <w:pPr>
        <w:sectPr>
          <w:pgSz w:w="11900" w:h="16838" w:orient="portrait"/>
          <w:cols w:equalWidth="0" w:num="2">
            <w:col w:w="2660" w:space="720"/>
            <w:col w:w="7860"/>
          </w:cols>
          <w:pgMar w:left="320" w:top="90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“AUA”</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assets under administration</w:t>
      </w:r>
    </w:p>
    <w:p>
      <w:pPr>
        <w:spacing w:after="0" w:line="211" w:lineRule="exact"/>
        <w:rPr>
          <w:sz w:val="20"/>
          <w:szCs w:val="20"/>
          <w:color w:val="auto"/>
        </w:rPr>
      </w:pPr>
    </w:p>
    <w:p>
      <w:pPr>
        <w:sectPr>
          <w:pgSz w:w="11900" w:h="16838" w:orient="portrait"/>
          <w:cols w:equalWidth="0" w:num="2">
            <w:col w:w="2660" w:space="720"/>
            <w:col w:w="7860"/>
          </w:cols>
          <w:pgMar w:left="320" w:top="90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 Committee”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of the Company</w:t>
      </w:r>
    </w:p>
    <w:p>
      <w:pPr>
        <w:spacing w:after="0" w:line="200" w:lineRule="exact"/>
        <w:rPr>
          <w:sz w:val="20"/>
          <w:szCs w:val="20"/>
          <w:color w:val="auto"/>
        </w:rPr>
      </w:pPr>
    </w:p>
    <w:p>
      <w:pPr>
        <w:sectPr>
          <w:pgSz w:w="11900" w:h="16838" w:orient="portrait"/>
          <w:cols w:equalWidth="0" w:num="2">
            <w:col w:w="2660" w:space="720"/>
            <w:col w:w="7860"/>
          </w:cols>
          <w:pgMar w:left="320" w:top="90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“AUM”</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assets under management, the amount of capital commitments made by investors to the funds we provide continuous management services without adjustment for any gain or loss from investment, for which we are entitled to receive recurring service fees or performance-based income, except for public securities investments. For public securities investments, “AUM” refers to the net asset value of the investments we manage, for which we are entitled to receive recurring service fees and performance-based income</w:t>
      </w:r>
    </w:p>
    <w:p>
      <w:pPr>
        <w:spacing w:after="0" w:line="183" w:lineRule="exact"/>
        <w:rPr>
          <w:sz w:val="20"/>
          <w:szCs w:val="20"/>
          <w:color w:val="auto"/>
        </w:rPr>
      </w:pPr>
    </w:p>
    <w:p>
      <w:pPr>
        <w:sectPr>
          <w:pgSz w:w="11900" w:h="16838" w:orient="portrait"/>
          <w:cols w:equalWidth="0" w:num="2">
            <w:col w:w="2660" w:space="720"/>
            <w:col w:w="7860"/>
          </w:cols>
          <w:pgMar w:left="320" w:top="90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board of Directors</w:t>
      </w:r>
    </w:p>
    <w:p>
      <w:pPr>
        <w:spacing w:after="0" w:line="211" w:lineRule="exact"/>
        <w:rPr>
          <w:sz w:val="20"/>
          <w:szCs w:val="20"/>
          <w:color w:val="auto"/>
        </w:rPr>
      </w:pPr>
    </w:p>
    <w:p>
      <w:pPr>
        <w:sectPr>
          <w:pgSz w:w="11900" w:h="16838" w:orient="portrait"/>
          <w:cols w:equalWidth="0" w:num="2">
            <w:col w:w="2660" w:space="720"/>
            <w:col w:w="7860"/>
          </w:cols>
          <w:pgMar w:left="320" w:top="90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or “PRC”</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People’s Republic of China, excluding, for the purposes of this document only, Taiwan and the special administrative regions of Hong Kong and Macau, except where the context otherwise requires</w:t>
      </w:r>
    </w:p>
    <w:p>
      <w:pPr>
        <w:spacing w:after="0" w:line="162" w:lineRule="exact"/>
        <w:rPr>
          <w:sz w:val="20"/>
          <w:szCs w:val="20"/>
          <w:color w:val="auto"/>
        </w:rPr>
      </w:pPr>
    </w:p>
    <w:p>
      <w:pPr>
        <w:sectPr>
          <w:pgSz w:w="11900" w:h="16838" w:orient="portrait"/>
          <w:cols w:equalWidth="0" w:num="2">
            <w:col w:w="2660" w:space="720"/>
            <w:col w:w="7860"/>
          </w:cols>
          <w:pgMar w:left="320" w:top="90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 w:lineRule="exact"/>
        <w:rPr>
          <w:sz w:val="20"/>
          <w:szCs w:val="20"/>
          <w:color w:val="auto"/>
        </w:rPr>
      </w:pPr>
      <w:r>
        <w:rPr>
          <w:sz w:val="20"/>
          <w:szCs w:val="20"/>
          <w:color w:val="auto"/>
        </w:rPr>
        <w:br w:type="column"/>
      </w:r>
    </w:p>
    <w:p>
      <w:pPr>
        <w:jc w:val="both"/>
        <w:spacing w:after="0" w:line="206" w:lineRule="exact"/>
        <w:rPr>
          <w:sz w:val="20"/>
          <w:szCs w:val="20"/>
          <w:color w:val="auto"/>
        </w:rPr>
      </w:pPr>
      <w:r>
        <w:rPr>
          <w:rFonts w:ascii="Times New Roman" w:cs="Times New Roman" w:eastAsia="Times New Roman" w:hAnsi="Times New Roman"/>
          <w:sz w:val="18"/>
          <w:szCs w:val="18"/>
          <w:color w:val="auto"/>
        </w:rPr>
        <w:t>Noah Holdings Limited, an exempted company with limited liability incorporated in the Cayman Islands on June 29, 2007, carrying on business in Hong Kong as “Noah Holdings Private Wealth and Asset Management Limited (</w:t>
      </w:r>
      <w:r>
        <w:rPr>
          <w:rFonts w:ascii="PMingLiU" w:cs="PMingLiU" w:eastAsia="PMingLiU" w:hAnsi="PMingLiU"/>
          <w:sz w:val="18"/>
          <w:szCs w:val="18"/>
          <w:color w:val="auto"/>
        </w:rPr>
        <w:t>諾亞控股私人財富資產管理有限公司</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2660" w:space="720"/>
            <w:col w:w="7860"/>
          </w:cols>
          <w:pgMar w:left="320" w:top="900" w:right="339" w:bottom="1440" w:gutter="0" w:footer="0" w:header="0"/>
          <w:type w:val="continuous"/>
        </w:sectPr>
      </w:pPr>
    </w:p>
    <w:p>
      <w:pPr>
        <w:spacing w:after="0" w:line="13" w:lineRule="exact"/>
        <w:rPr>
          <w:sz w:val="20"/>
          <w:szCs w:val="20"/>
          <w:color w:val="auto"/>
        </w:rPr>
      </w:pPr>
    </w:p>
    <w:p>
      <w:pPr>
        <w:jc w:val="both"/>
        <w:ind w:left="3380" w:hanging="3374"/>
        <w:spacing w:after="0" w:line="227" w:lineRule="exact"/>
        <w:rPr>
          <w:sz w:val="20"/>
          <w:szCs w:val="20"/>
          <w:color w:val="auto"/>
        </w:rPr>
      </w:pPr>
      <w:r>
        <w:rPr>
          <w:rFonts w:ascii="Times New Roman" w:cs="Times New Roman" w:eastAsia="Times New Roman" w:hAnsi="Times New Roman"/>
          <w:sz w:val="18"/>
          <w:szCs w:val="18"/>
          <w:color w:val="auto"/>
        </w:rPr>
        <w:t xml:space="preserve">“Consolidated Affiliated Entities” or “VIE(s)” Shanghai Noah Investment Management Co., Ltd. ( </w:t>
      </w:r>
      <w:r>
        <w:rPr>
          <w:rFonts w:ascii="PMingLiU" w:cs="PMingLiU" w:eastAsia="PMingLiU" w:hAnsi="PMingLiU"/>
          <w:sz w:val="18"/>
          <w:szCs w:val="18"/>
          <w:color w:val="auto"/>
        </w:rPr>
        <w:t>上海諾亞投資管理有限公司</w:t>
      </w:r>
      <w:r>
        <w:rPr>
          <w:rFonts w:ascii="Times New Roman" w:cs="Times New Roman" w:eastAsia="Times New Roman" w:hAnsi="Times New Roman"/>
          <w:sz w:val="18"/>
          <w:szCs w:val="18"/>
          <w:color w:val="auto"/>
        </w:rPr>
        <w:t>), a limited liability company established under the laws of the PRC on August 26, 2005, and its subsidiaries, all of which are controlled by the Company through contractual arrangements via agreements underlying the variable interest entity structure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“Corporate Governance Code”</w:t>
            </w: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Corporate Governance Code set out in Appendix C1 of the Hong Kong Listing Rules</w:t>
            </w:r>
          </w:p>
        </w:tc>
      </w:tr>
      <w:tr>
        <w:trPr>
          <w:trHeight w:val="432"/>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director(s) of our Company</w:t>
            </w:r>
          </w:p>
        </w:tc>
      </w:tr>
      <w:tr>
        <w:trPr>
          <w:trHeight w:val="648"/>
        </w:trPr>
        <w:tc>
          <w:tcPr>
            <w:tcW w:w="280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jc w:val="right"/>
              <w:ind w:right="5430"/>
              <w:spacing w:after="0"/>
              <w:rPr>
                <w:sz w:val="20"/>
                <w:szCs w:val="20"/>
                <w:color w:val="auto"/>
              </w:rPr>
            </w:pPr>
            <w:r>
              <w:rPr>
                <w:rFonts w:ascii="Times New Roman" w:cs="Times New Roman" w:eastAsia="Times New Roman" w:hAnsi="Times New Roman"/>
                <w:sz w:val="18"/>
                <w:szCs w:val="18"/>
                <w:color w:val="auto"/>
              </w:rPr>
              <w:t>37</w:t>
            </w:r>
          </w:p>
        </w:tc>
      </w:tr>
    </w:tbl>
    <w:p>
      <w:pPr>
        <w:sectPr>
          <w:pgSz w:w="11900" w:h="16838" w:orient="portrait"/>
          <w:cols w:equalWidth="0" w:num="1">
            <w:col w:w="11240"/>
          </w:cols>
          <w:pgMar w:left="320" w:top="900"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“GAAP”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generally accepted accounting principles</w:t>
      </w:r>
    </w:p>
    <w:p>
      <w:pPr>
        <w:spacing w:after="0" w:line="200" w:lineRule="exact"/>
        <w:rPr>
          <w:sz w:val="20"/>
          <w:szCs w:val="20"/>
          <w:color w:val="auto"/>
        </w:rPr>
      </w:pPr>
    </w:p>
    <w:p>
      <w:pPr>
        <w:sectPr>
          <w:pgSz w:w="11900" w:h="16838" w:orient="portrait"/>
          <w:cols w:equalWidth="0" w:num="2">
            <w:col w:w="2660" w:space="720"/>
            <w:col w:w="7860"/>
          </w:cols>
          <w:pgMar w:left="320" w:top="904" w:right="339" w:bottom="1440" w:gutter="0" w:footer="0" w:header="0"/>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“Gopher” or “Gopher Asset Management”</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Gopher Asset Management Co., Ltd. (</w:t>
      </w:r>
      <w:r>
        <w:rPr>
          <w:rFonts w:ascii="PMingLiU" w:cs="PMingLiU" w:eastAsia="PMingLiU" w:hAnsi="PMingLiU"/>
          <w:sz w:val="18"/>
          <w:szCs w:val="18"/>
          <w:color w:val="auto"/>
        </w:rPr>
        <w:t>歌斐資產管理有限公司</w:t>
      </w:r>
      <w:r>
        <w:rPr>
          <w:rFonts w:ascii="Times New Roman" w:cs="Times New Roman" w:eastAsia="Times New Roman" w:hAnsi="Times New Roman"/>
          <w:sz w:val="18"/>
          <w:szCs w:val="18"/>
          <w:color w:val="auto"/>
        </w:rPr>
        <w:t>), a limited liability company established under the laws of the PRC on February 9, 2012, and one of our Company’s Consolidated Affiliated Entities, or, where the context requires, with its subsidiaries collectively</w:t>
      </w:r>
    </w:p>
    <w:p>
      <w:pPr>
        <w:spacing w:after="0" w:line="200" w:lineRule="exact"/>
        <w:rPr>
          <w:sz w:val="20"/>
          <w:szCs w:val="20"/>
          <w:color w:val="auto"/>
        </w:rPr>
      </w:pPr>
    </w:p>
    <w:p>
      <w:pPr>
        <w:sectPr>
          <w:pgSz w:w="11900" w:h="16838" w:orient="portrait"/>
          <w:cols w:equalWidth="0" w:num="2">
            <w:col w:w="3080" w:space="300"/>
            <w:col w:w="7860"/>
          </w:cols>
          <w:pgMar w:left="320" w:top="904" w:right="339" w:bottom="1440" w:gutter="0" w:footer="0" w:header="0"/>
          <w:type w:val="continuous"/>
        </w:sectPr>
      </w:pPr>
    </w:p>
    <w:p>
      <w:pPr>
        <w:ind w:left="180" w:right="1540" w:hanging="161"/>
        <w:spacing w:after="0" w:line="282" w:lineRule="auto"/>
        <w:rPr>
          <w:sz w:val="20"/>
          <w:szCs w:val="20"/>
          <w:color w:val="auto"/>
        </w:rPr>
      </w:pPr>
      <w:r>
        <w:rPr>
          <w:rFonts w:ascii="Times New Roman" w:cs="Times New Roman" w:eastAsia="Times New Roman" w:hAnsi="Times New Roman"/>
          <w:sz w:val="18"/>
          <w:szCs w:val="18"/>
          <w:color w:val="auto"/>
        </w:rPr>
        <w:t>“Group”, “our Group”, “the Group”, “Noah”, the Company, its subsidiaries and the Consolidated Affiliated Entities from time to time “our”, “us” or “we”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“HK$”</w:t>
            </w:r>
          </w:p>
        </w:tc>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Hong Kong dollars, the lawful currency of Hong Kong</w:t>
            </w: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“HNW”</w:t>
            </w:r>
          </w:p>
        </w:tc>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high net worth</w:t>
            </w: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“HNW clients” or “HNW investors”</w:t>
            </w:r>
          </w:p>
        </w:tc>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clients/investors with investable financial assets of no less than RMB6 million</w:t>
            </w: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Hong Kong Special Administrative Region of the PRC</w:t>
            </w: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“Hong Kong Listing Rules”</w:t>
            </w:r>
          </w:p>
        </w:tc>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Rules Governing the Listing of Securities on The Stock Exchange of Hong Kong Limited</w:t>
            </w: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“Hong Kong Stock Exchange” or “HKEX”</w:t>
            </w:r>
          </w:p>
        </w:tc>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Stock Exchange of Hong Kong Limited</w:t>
            </w: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“IFRS”</w:t>
            </w:r>
          </w:p>
        </w:tc>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International Financial Reporting Standards, as issued by the International Accounting Standards Board</w:t>
            </w:r>
          </w:p>
        </w:tc>
      </w:tr>
      <w:tr>
        <w:trPr>
          <w:trHeight w:val="41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“Model Code”</w:t>
            </w:r>
          </w:p>
        </w:tc>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Model Code for Securities Transactions by Directors of Listed Issuers set out in Appendix C3 of the</w:t>
            </w:r>
          </w:p>
        </w:tc>
      </w:tr>
      <w:tr>
        <w:trPr>
          <w:trHeight w:val="234"/>
        </w:trPr>
        <w:tc>
          <w:tcPr>
            <w:tcW w:w="3260" w:type="dxa"/>
            <w:vAlign w:val="bottom"/>
          </w:tcPr>
          <w:p>
            <w:pPr>
              <w:spacing w:after="0"/>
              <w:rPr>
                <w:sz w:val="20"/>
                <w:szCs w:val="20"/>
                <w:color w:val="auto"/>
              </w:rPr>
            </w:pPr>
          </w:p>
        </w:tc>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Hong Kong Listing Rules</w:t>
            </w: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“NYSE”</w:t>
            </w:r>
          </w:p>
        </w:tc>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41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“Prospectus”</w:t>
            </w:r>
          </w:p>
        </w:tc>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Company’s prospectus dated June 30, 2022 in connection to its secondary listing on the Hong Kong</w:t>
            </w:r>
          </w:p>
        </w:tc>
      </w:tr>
      <w:tr>
        <w:trPr>
          <w:trHeight w:val="234"/>
        </w:trPr>
        <w:tc>
          <w:tcPr>
            <w:tcW w:w="3260" w:type="dxa"/>
            <w:vAlign w:val="bottom"/>
          </w:tcPr>
          <w:p>
            <w:pPr>
              <w:spacing w:after="0"/>
              <w:rPr>
                <w:sz w:val="20"/>
                <w:szCs w:val="20"/>
                <w:color w:val="auto"/>
              </w:rPr>
            </w:pPr>
          </w:p>
        </w:tc>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Exchange</w:t>
            </w: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“Reporting Period”</w:t>
            </w:r>
          </w:p>
        </w:tc>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six months ended June 30, 2024</w:t>
            </w: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“RMB” or “Renminbi”</w:t>
            </w:r>
          </w:p>
        </w:tc>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Renminbi yuan, the lawful currency of China</w:t>
            </w: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“SEC”</w:t>
            </w:r>
          </w:p>
        </w:tc>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United States Securities and Exchange Commission</w:t>
            </w:r>
          </w:p>
        </w:tc>
      </w:tr>
      <w:tr>
        <w:trPr>
          <w:trHeight w:val="648"/>
        </w:trPr>
        <w:tc>
          <w:tcPr>
            <w:tcW w:w="326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38</w:t>
            </w:r>
          </w:p>
        </w:tc>
      </w:tr>
    </w:tbl>
    <w:p>
      <w:pPr>
        <w:sectPr>
          <w:pgSz w:w="11900" w:h="16838" w:orient="portrait"/>
          <w:cols w:equalWidth="0" w:num="1">
            <w:col w:w="11240"/>
          </w:cols>
          <w:pgMar w:left="320" w:top="904"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“SFO”</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the Securities and Futures Ordinance (Chapter 571 of the Laws of Hong Kong), as amended or supplemented from time to time</w:t>
      </w:r>
    </w:p>
    <w:p>
      <w:pPr>
        <w:spacing w:after="0" w:line="162" w:lineRule="exact"/>
        <w:rPr>
          <w:sz w:val="20"/>
          <w:szCs w:val="20"/>
          <w:color w:val="auto"/>
        </w:rPr>
      </w:pPr>
    </w:p>
    <w:p>
      <w:pPr>
        <w:sectPr>
          <w:pgSz w:w="11900" w:h="16838" w:orient="portrait"/>
          <w:cols w:equalWidth="0" w:num="2">
            <w:col w:w="2660" w:space="720"/>
            <w:col w:w="7860"/>
          </w:cols>
          <w:pgMar w:left="320" w:top="904"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“Shanghai Gopher”</w:t>
      </w:r>
    </w:p>
    <w:p>
      <w:pPr>
        <w:spacing w:after="0" w:line="20" w:lineRule="exact"/>
        <w:rPr>
          <w:sz w:val="20"/>
          <w:szCs w:val="20"/>
          <w:color w:val="auto"/>
        </w:rPr>
      </w:pPr>
      <w:r>
        <w:rPr>
          <w:sz w:val="20"/>
          <w:szCs w:val="20"/>
          <w:color w:val="auto"/>
        </w:rPr>
        <w:br w:type="column"/>
      </w:r>
    </w:p>
    <w:p>
      <w:pPr>
        <w:jc w:val="both"/>
        <w:spacing w:after="0" w:line="219" w:lineRule="exact"/>
        <w:rPr>
          <w:sz w:val="20"/>
          <w:szCs w:val="20"/>
          <w:color w:val="auto"/>
        </w:rPr>
      </w:pPr>
      <w:r>
        <w:rPr>
          <w:rFonts w:ascii="Times New Roman" w:cs="Times New Roman" w:eastAsia="Times New Roman" w:hAnsi="Times New Roman"/>
          <w:sz w:val="18"/>
          <w:szCs w:val="18"/>
          <w:color w:val="auto"/>
        </w:rPr>
        <w:t>Shanghai Gopher Asset Management Co., Ltd. (</w:t>
      </w:r>
      <w:r>
        <w:rPr>
          <w:rFonts w:ascii="PMingLiU" w:cs="PMingLiU" w:eastAsia="PMingLiU" w:hAnsi="PMingLiU"/>
          <w:sz w:val="18"/>
          <w:szCs w:val="18"/>
          <w:color w:val="auto"/>
        </w:rPr>
        <w:t>上海歌斐資產管理有限公司</w:t>
      </w:r>
      <w:r>
        <w:rPr>
          <w:rFonts w:ascii="Times New Roman" w:cs="Times New Roman" w:eastAsia="Times New Roman" w:hAnsi="Times New Roman"/>
          <w:sz w:val="18"/>
          <w:szCs w:val="18"/>
          <w:color w:val="auto"/>
        </w:rPr>
        <w:t>), a limited liability company established in the PRC on December 14, 2012, and one of the Consolidated Affiliated Entities and significant subsidiaries</w:t>
      </w:r>
    </w:p>
    <w:p>
      <w:pPr>
        <w:spacing w:after="0" w:line="200" w:lineRule="exact"/>
        <w:rPr>
          <w:sz w:val="20"/>
          <w:szCs w:val="20"/>
          <w:color w:val="auto"/>
        </w:rPr>
      </w:pPr>
    </w:p>
    <w:p>
      <w:pPr>
        <w:sectPr>
          <w:pgSz w:w="11900" w:h="16838" w:orient="portrait"/>
          <w:cols w:equalWidth="0" w:num="2">
            <w:col w:w="2660" w:space="720"/>
            <w:col w:w="7860"/>
          </w:cols>
          <w:pgMar w:left="320" w:top="90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ordinary share(s) in the share capital of the Company, and upon the revised Articles of Association becoming effective, any share(s) in the capital of the Company</w:t>
      </w:r>
    </w:p>
    <w:p>
      <w:pPr>
        <w:spacing w:after="0" w:line="162" w:lineRule="exact"/>
        <w:rPr>
          <w:sz w:val="20"/>
          <w:szCs w:val="20"/>
          <w:color w:val="auto"/>
        </w:rPr>
      </w:pPr>
    </w:p>
    <w:p>
      <w:pPr>
        <w:sectPr>
          <w:pgSz w:w="11900" w:h="16838" w:orient="portrait"/>
          <w:cols w:equalWidth="0" w:num="2">
            <w:col w:w="2660" w:space="720"/>
            <w:col w:w="7860"/>
          </w:cols>
          <w:pgMar w:left="320" w:top="90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holder(s) of the Share(s), and where the context requires, ADSs</w:t>
      </w:r>
    </w:p>
    <w:p>
      <w:pPr>
        <w:spacing w:after="0" w:line="200" w:lineRule="exact"/>
        <w:rPr>
          <w:sz w:val="20"/>
          <w:szCs w:val="20"/>
          <w:color w:val="auto"/>
        </w:rPr>
      </w:pPr>
    </w:p>
    <w:p>
      <w:pPr>
        <w:sectPr>
          <w:pgSz w:w="11900" w:h="16838" w:orient="portrait"/>
          <w:cols w:equalWidth="0" w:num="2">
            <w:col w:w="2660" w:space="720"/>
            <w:col w:w="7860"/>
          </w:cols>
          <w:pgMar w:left="320" w:top="904"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or “subsidiaries”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has the meaning ascribed thereto in section 15 of the Companies Ordinance (Chapter 622 of the Laws of Hong Kong), as amended or supplemented from time to time</w:t>
      </w:r>
    </w:p>
    <w:p>
      <w:pPr>
        <w:spacing w:after="0" w:line="162" w:lineRule="exact"/>
        <w:rPr>
          <w:sz w:val="20"/>
          <w:szCs w:val="20"/>
          <w:color w:val="auto"/>
        </w:rPr>
      </w:pPr>
    </w:p>
    <w:p>
      <w:pPr>
        <w:sectPr>
          <w:pgSz w:w="11900" w:h="16838" w:orient="portrait"/>
          <w:cols w:equalWidth="0" w:num="2">
            <w:col w:w="2660" w:space="720"/>
            <w:col w:w="7860"/>
          </w:cols>
          <w:pgMar w:left="320" w:top="90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“transaction value”</w:t>
      </w:r>
    </w:p>
    <w:p>
      <w:pPr>
        <w:spacing w:after="0" w:line="20" w:lineRule="exact"/>
        <w:rPr>
          <w:sz w:val="20"/>
          <w:szCs w:val="20"/>
          <w:color w:val="auto"/>
        </w:rPr>
      </w:pPr>
      <w:r>
        <w:rPr>
          <w:sz w:val="20"/>
          <w:szCs w:val="20"/>
          <w:color w:val="auto"/>
        </w:rPr>
        <w:br w:type="column"/>
      </w:r>
    </w:p>
    <w:p>
      <w:pPr>
        <w:jc w:val="center"/>
        <w:ind w:right="1940"/>
        <w:spacing w:after="0"/>
        <w:rPr>
          <w:sz w:val="20"/>
          <w:szCs w:val="20"/>
          <w:color w:val="auto"/>
        </w:rPr>
      </w:pPr>
      <w:r>
        <w:rPr>
          <w:rFonts w:ascii="Times New Roman" w:cs="Times New Roman" w:eastAsia="Times New Roman" w:hAnsi="Times New Roman"/>
          <w:sz w:val="17"/>
          <w:szCs w:val="17"/>
          <w:color w:val="auto"/>
        </w:rPr>
        <w:t>the aggregate value of the investment products we distribute during a given period</w:t>
      </w:r>
    </w:p>
    <w:p>
      <w:pPr>
        <w:spacing w:after="0" w:line="211" w:lineRule="exact"/>
        <w:rPr>
          <w:sz w:val="20"/>
          <w:szCs w:val="20"/>
          <w:color w:val="auto"/>
        </w:rPr>
      </w:pPr>
    </w:p>
    <w:p>
      <w:pPr>
        <w:sectPr>
          <w:pgSz w:w="11900" w:h="16838" w:orient="portrait"/>
          <w:cols w:equalWidth="0" w:num="2">
            <w:col w:w="2660" w:space="720"/>
            <w:col w:w="7860"/>
          </w:cols>
          <w:pgMar w:left="320" w:top="904"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or “United States”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United States of America, its territories, its possessions and all areas subject to its jurisdiction</w:t>
      </w:r>
    </w:p>
    <w:p>
      <w:pPr>
        <w:spacing w:after="0" w:line="211" w:lineRule="exact"/>
        <w:rPr>
          <w:sz w:val="20"/>
          <w:szCs w:val="20"/>
          <w:color w:val="auto"/>
        </w:rPr>
      </w:pPr>
    </w:p>
    <w:p>
      <w:pPr>
        <w:sectPr>
          <w:pgSz w:w="11900" w:h="16838" w:orient="portrait"/>
          <w:cols w:equalWidth="0" w:num="2">
            <w:col w:w="2660" w:space="720"/>
            <w:col w:w="7860"/>
          </w:cols>
          <w:pgMar w:left="320" w:top="904"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“USD” or “US$”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dollars, the lawful currency of the United States</w:t>
      </w:r>
    </w:p>
    <w:p>
      <w:pPr>
        <w:spacing w:after="0" w:line="200" w:lineRule="exact"/>
        <w:rPr>
          <w:sz w:val="20"/>
          <w:szCs w:val="20"/>
          <w:color w:val="auto"/>
        </w:rPr>
      </w:pPr>
    </w:p>
    <w:p>
      <w:pPr>
        <w:sectPr>
          <w:pgSz w:w="11900" w:h="16838" w:orient="portrait"/>
          <w:cols w:equalWidth="0" w:num="2">
            <w:col w:w="2660" w:space="720"/>
            <w:col w:w="7860"/>
          </w:cols>
          <w:pgMar w:left="320" w:top="904"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GAAP”</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w:t>
      </w:r>
    </w:p>
    <w:p>
      <w:pPr>
        <w:spacing w:after="0" w:line="200" w:lineRule="exact"/>
        <w:rPr>
          <w:sz w:val="20"/>
          <w:szCs w:val="20"/>
          <w:color w:val="auto"/>
        </w:rPr>
      </w:pPr>
    </w:p>
    <w:p>
      <w:pPr>
        <w:sectPr>
          <w:pgSz w:w="11900" w:h="16838" w:orient="portrait"/>
          <w:cols w:equalWidth="0" w:num="2">
            <w:col w:w="2660" w:space="720"/>
            <w:col w:w="7860"/>
          </w:cols>
          <w:pgMar w:left="320" w:top="904"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cent</w:t>
      </w:r>
    </w:p>
    <w:p>
      <w:pPr>
        <w:spacing w:after="0" w:line="200" w:lineRule="exact"/>
        <w:rPr>
          <w:sz w:val="20"/>
          <w:szCs w:val="20"/>
          <w:color w:val="auto"/>
        </w:rPr>
      </w:pPr>
    </w:p>
    <w:p>
      <w:pPr>
        <w:sectPr>
          <w:pgSz w:w="11900" w:h="16838" w:orient="portrait"/>
          <w:cols w:equalWidth="0" w:num="2">
            <w:col w:w="2660" w:space="720"/>
            <w:col w:w="7860"/>
          </w:cols>
          <w:pgMar w:left="320" w:top="904" w:right="339" w:bottom="1440" w:gutter="0" w:footer="0" w:header="0"/>
          <w:type w:val="continuous"/>
        </w:sectPr>
      </w:pPr>
    </w:p>
    <w:p>
      <w:pPr>
        <w:spacing w:after="0" w:line="25" w:lineRule="exact"/>
        <w:rPr>
          <w:sz w:val="20"/>
          <w:szCs w:val="20"/>
          <w:color w:val="auto"/>
        </w:rPr>
      </w:pPr>
    </w:p>
    <w:p>
      <w:pPr>
        <w:jc w:val="center"/>
        <w:ind w:left="338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3320"/>
        <w:spacing w:after="0"/>
        <w:rPr>
          <w:sz w:val="20"/>
          <w:szCs w:val="20"/>
          <w:color w:val="auto"/>
        </w:rPr>
      </w:pPr>
      <w:r>
        <w:rPr>
          <w:rFonts w:ascii="Times New Roman" w:cs="Times New Roman" w:eastAsia="Times New Roman" w:hAnsi="Times New Roman"/>
          <w:sz w:val="18"/>
          <w:szCs w:val="18"/>
          <w:b w:val="1"/>
          <w:bCs w:val="1"/>
          <w:color w:val="auto"/>
        </w:rPr>
        <w:t>Noah Holdings Private Wealth and Asset Management Limited</w:t>
      </w:r>
    </w:p>
    <w:p>
      <w:pPr>
        <w:spacing w:after="0" w:line="9" w:lineRule="exact"/>
        <w:rPr>
          <w:sz w:val="20"/>
          <w:szCs w:val="20"/>
          <w:color w:val="auto"/>
        </w:rPr>
      </w:pPr>
    </w:p>
    <w:p>
      <w:pPr>
        <w:jc w:val="center"/>
        <w:ind w:left="3380"/>
        <w:spacing w:after="0"/>
        <w:rPr>
          <w:sz w:val="20"/>
          <w:szCs w:val="20"/>
          <w:color w:val="auto"/>
        </w:rPr>
      </w:pPr>
      <w:r>
        <w:rPr>
          <w:rFonts w:ascii="Times New Roman" w:cs="Times New Roman" w:eastAsia="Times New Roman" w:hAnsi="Times New Roman"/>
          <w:sz w:val="18"/>
          <w:szCs w:val="18"/>
          <w:b w:val="1"/>
          <w:bCs w:val="1"/>
          <w:color w:val="auto"/>
        </w:rPr>
        <w:t>Jingbo Wang</w:t>
      </w:r>
    </w:p>
    <w:p>
      <w:pPr>
        <w:spacing w:after="0" w:line="9" w:lineRule="exact"/>
        <w:rPr>
          <w:sz w:val="20"/>
          <w:szCs w:val="20"/>
          <w:color w:val="auto"/>
        </w:rPr>
      </w:pPr>
    </w:p>
    <w:p>
      <w:pPr>
        <w:jc w:val="center"/>
        <w:ind w:left="3380"/>
        <w:spacing w:after="0"/>
        <w:rPr>
          <w:sz w:val="20"/>
          <w:szCs w:val="20"/>
          <w:color w:val="auto"/>
        </w:rPr>
      </w:pPr>
      <w:r>
        <w:rPr>
          <w:rFonts w:ascii="Times New Roman" w:cs="Times New Roman" w:eastAsia="Times New Roman" w:hAnsi="Times New Roman"/>
          <w:sz w:val="18"/>
          <w:szCs w:val="18"/>
          <w:i w:val="1"/>
          <w:iCs w:val="1"/>
          <w:color w:val="auto"/>
        </w:rPr>
        <w:t>Chairwoman of the Board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Hong Kong, August 29, 2024</w:t>
      </w:r>
    </w:p>
    <w:p>
      <w:pPr>
        <w:sectPr>
          <w:pgSz w:w="11900" w:h="16838" w:orient="portrait"/>
          <w:cols w:equalWidth="0" w:num="1">
            <w:col w:w="11240"/>
          </w:cols>
          <w:pgMar w:left="320" w:top="904" w:right="339" w:bottom="1440" w:gutter="0" w:footer="0" w:header="0"/>
          <w:type w:val="continuous"/>
        </w:sectPr>
      </w:pP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231F20"/>
        </w:rPr>
        <w:t>As of the date of this announcement, the Board comprises Ms. Jingbo Wang, the chairwoman, and Mr. Zhe Yin as Directors; Ms. Chia-Yue Chang, Mr. Kai Wang, Mr. Boquan He and Mr. David Zhang as non-executive Directors; and Ms. Xiangrong Li, Ms. Cynthia Jinhong Meng and Ms. May Yihong Wu as independent Directors.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1."/>
      <w:numFmt w:val="decimal"/>
      <w:start w:val="3"/>
    </w:lvl>
  </w:abstractNum>
  <w:abstractNum w:abstractNumId="8">
    <w:nsid w:val="1190CDE7"/>
    <w:multiLevelType w:val="hybridMultilevel"/>
    <w:lvl w:ilvl="0">
      <w:lvlJc w:val="left"/>
      <w:lvlText w:val="%1."/>
      <w:numFmt w:val="decimal"/>
      <w:start w:val="4"/>
    </w:lvl>
  </w:abstractNum>
  <w:abstractNum w:abstractNumId="9">
    <w:nsid w:val="66EF438D"/>
    <w:multiLevelType w:val="hybridMultilevel"/>
    <w:lvl w:ilvl="0">
      <w:lvlJc w:val="left"/>
      <w:lvlText w:val="%1."/>
      <w:numFmt w:val="decimal"/>
      <w:start w:val="5"/>
    </w:lvl>
  </w:abstractNum>
  <w:abstractNum w:abstractNumId="10">
    <w:nsid w:val="140E0F76"/>
    <w:multiLevelType w:val="hybridMultilevel"/>
    <w:lvl w:ilvl="0">
      <w:lvlJc w:val="left"/>
      <w:lvlText w:val="%1."/>
      <w:numFmt w:val="decimal"/>
      <w:start w:val="7"/>
    </w:lvl>
  </w:abstractNum>
  <w:abstractNum w:abstractNumId="11">
    <w:nsid w:val="3352255A"/>
    <w:multiLevelType w:val="hybridMultilevel"/>
    <w:lvl w:ilvl="0">
      <w:lvlJc w:val="left"/>
      <w:lvlText w:val="%1."/>
      <w:numFmt w:val="decimal"/>
      <w:start w:val="8"/>
    </w:lvl>
  </w:abstractNum>
  <w:abstractNum w:abstractNumId="12">
    <w:nsid w:val="109CF92E"/>
    <w:multiLevelType w:val="hybridMultilevel"/>
    <w:lvl w:ilvl="0">
      <w:lvlJc w:val="left"/>
      <w:lvlText w:val="%1."/>
      <w:numFmt w:val="decimal"/>
      <w:start w:val="9"/>
    </w:lvl>
  </w:abstractNum>
  <w:abstractNum w:abstractNumId="13">
    <w:nsid w:val="DED7263"/>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2024-08-29T05:52:05Z</dcterms:created>
  <dcterms:modified xsi:type="dcterms:W3CDTF">2024-08-29T05:52:05Z</dcterms:modified>
</cp:coreProperties>
</file>