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Noah Holdings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1226, South Shenbin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 (21) 8035-8292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6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left="240" w:hanging="1349"/>
        <w:spacing w:after="0" w:line="282" w:lineRule="auto"/>
        <w:tabs>
          <w:tab w:leader="none" w:pos="2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8"/>
          <w:szCs w:val="18"/>
          <w:u w:val="single" w:color="auto"/>
          <w:color w:val="0000EE"/>
        </w:rPr>
        <w:t>HKEx Announcement — Date of Board Meeting and Date of Announcement of Second Quarter and Half Year 2024 Unaudited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388620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20"/>
          </w:cols>
          <w:pgMar w:left="1440" w:top="900" w:right="10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Qing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Qing Pan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231F20"/>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231F20"/>
        </w:rPr>
        <w:t>Noah Holdings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Noah Holdings Private Wealth and Asset Management Limited</w:t>
      </w:r>
    </w:p>
    <w:p>
      <w:pPr>
        <w:spacing w:after="0" w:line="52" w:lineRule="exact"/>
        <w:rPr>
          <w:sz w:val="20"/>
          <w:szCs w:val="20"/>
          <w:color w:val="auto"/>
        </w:rPr>
      </w:pPr>
    </w:p>
    <w:p>
      <w:pPr>
        <w:jc w:val="center"/>
        <w:spacing w:after="0" w:line="300" w:lineRule="exact"/>
        <w:rPr>
          <w:sz w:val="20"/>
          <w:szCs w:val="20"/>
          <w:color w:val="auto"/>
        </w:rPr>
      </w:pPr>
      <w:r>
        <w:rPr>
          <w:rFonts w:ascii="PMingLiU" w:cs="PMingLiU" w:eastAsia="PMingLiU" w:hAnsi="PMingLiU"/>
          <w:sz w:val="25"/>
          <w:szCs w:val="25"/>
          <w:color w:val="auto"/>
        </w:rPr>
        <w:t>諾亞控股私人財富資產管理有限公司</w:t>
      </w:r>
    </w:p>
    <w:p>
      <w:pPr>
        <w:spacing w:after="0" w:line="17" w:lineRule="exact"/>
        <w:rPr>
          <w:sz w:val="20"/>
          <w:szCs w:val="20"/>
          <w:color w:val="auto"/>
        </w:rPr>
      </w:pPr>
    </w:p>
    <w:p>
      <w:pPr>
        <w:jc w:val="both"/>
        <w:ind w:left="1920" w:right="1920" w:hanging="15"/>
        <w:spacing w:after="0" w:line="277" w:lineRule="auto"/>
        <w:rPr>
          <w:sz w:val="20"/>
          <w:szCs w:val="20"/>
          <w:color w:val="auto"/>
        </w:rPr>
      </w:pPr>
      <w:r>
        <w:rPr>
          <w:rFonts w:ascii="Times New Roman" w:cs="Times New Roman" w:eastAsia="Times New Roman" w:hAnsi="Times New Roman"/>
          <w:sz w:val="17"/>
          <w:szCs w:val="17"/>
          <w:i w:val="1"/>
          <w:iCs w:val="1"/>
          <w:color w:val="231F20"/>
        </w:rPr>
        <w:t>(Incorporated in the Cayman Islands with limited liability under the name Noah Holdings Limited and carrying on business in Hong Kong as Noah Holdings Private Wealth and Asset Management Limited)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6686)</w:t>
      </w:r>
    </w:p>
    <w:p>
      <w:pPr>
        <w:spacing w:after="0" w:line="1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231F20"/>
        </w:rPr>
        <w:t>DATE OF BOARD MEETING AND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DATE OF ANNOUNCEMENT OF SECOND QUARTER AND HALF YEAR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2024 UNAUDITED FINANCIAL RESULTS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31F20"/>
        </w:rPr>
        <w:t>The board of directors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of Noah Holdings Private Wealth and Asset Management Limited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with its subsidiaries and consolidated affiliated entities, the “</w:t>
      </w:r>
      <w:r>
        <w:rPr>
          <w:rFonts w:ascii="Times New Roman" w:cs="Times New Roman" w:eastAsia="Times New Roman" w:hAnsi="Times New Roman"/>
          <w:sz w:val="18"/>
          <w:szCs w:val="18"/>
          <w:b w:val="1"/>
          <w:bCs w:val="1"/>
          <w:color w:val="231F20"/>
        </w:rPr>
        <w:t>Group</w:t>
      </w:r>
      <w:r>
        <w:rPr>
          <w:rFonts w:ascii="Times New Roman" w:cs="Times New Roman" w:eastAsia="Times New Roman" w:hAnsi="Times New Roman"/>
          <w:sz w:val="18"/>
          <w:szCs w:val="18"/>
          <w:color w:val="231F20"/>
        </w:rPr>
        <w:t>”) will hold a Board meeting on Wednesday, August 28, 2024 (Hong Kong Time) for the purpose of, among others, considering and approving the unaudited financial results of the Group for the three months and six months ended June 30, 2024 (the “</w:t>
      </w:r>
      <w:r>
        <w:rPr>
          <w:rFonts w:ascii="Times New Roman" w:cs="Times New Roman" w:eastAsia="Times New Roman" w:hAnsi="Times New Roman"/>
          <w:sz w:val="18"/>
          <w:szCs w:val="18"/>
          <w:b w:val="1"/>
          <w:bCs w:val="1"/>
          <w:color w:val="231F20"/>
        </w:rPr>
        <w:t>Q2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Interim Results</w:t>
      </w:r>
      <w:r>
        <w:rPr>
          <w:rFonts w:ascii="Times New Roman" w:cs="Times New Roman" w:eastAsia="Times New Roman" w:hAnsi="Times New Roman"/>
          <w:sz w:val="18"/>
          <w:szCs w:val="18"/>
          <w:color w:val="231F20"/>
        </w:rPr>
        <w:t>”) and its publication. The Company will announce its Q2 and Interim Results at or around 6:00 a.m. Hong Kong Time on Thursday,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August 29, 2024 (6:00 p.m. U.S. Eastern Time on Wednesday, August 28, 2024) on the website of The Stock Exchange of Hong Kong Limited at </w:t>
      </w:r>
      <w:r>
        <w:rPr>
          <w:rFonts w:ascii="Times New Roman" w:cs="Times New Roman" w:eastAsia="Times New Roman" w:hAnsi="Times New Roman"/>
          <w:sz w:val="18"/>
          <w:szCs w:val="18"/>
          <w:b w:val="1"/>
          <w:bCs w:val="1"/>
          <w:u w:val="single" w:color="auto"/>
          <w:color w:val="231F20"/>
        </w:rPr>
        <w:t>www.hkexnews.hk</w:t>
      </w:r>
      <w:r>
        <w:rPr>
          <w:rFonts w:ascii="Times New Roman" w:cs="Times New Roman" w:eastAsia="Times New Roman" w:hAnsi="Times New Roman"/>
          <w:sz w:val="18"/>
          <w:szCs w:val="18"/>
          <w:color w:val="231F20"/>
        </w:rPr>
        <w: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Following the announcement of the Q2 and Interim Results, the Company’s senior management will host a combined English and Chinese language earnings conference call to discuss its Q2 and Interim Results and recent business activities. The conference call may be accessed with the following details: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Dial-in details:</w:t>
            </w:r>
          </w:p>
        </w:tc>
        <w:tc>
          <w:tcPr>
            <w:tcW w:w="5520" w:type="dxa"/>
            <w:vAlign w:val="bottom"/>
          </w:tcPr>
          <w:p>
            <w:pPr>
              <w:spacing w:after="0"/>
              <w:rPr>
                <w:sz w:val="19"/>
                <w:szCs w:val="19"/>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Conference title:</w:t>
            </w:r>
          </w:p>
        </w:tc>
        <w:tc>
          <w:tcPr>
            <w:tcW w:w="5520" w:type="dxa"/>
            <w:vAlign w:val="bottom"/>
          </w:tcPr>
          <w:p>
            <w:pPr>
              <w:ind w:left="600"/>
              <w:spacing w:after="0"/>
              <w:rPr>
                <w:sz w:val="20"/>
                <w:szCs w:val="20"/>
                <w:color w:val="auto"/>
              </w:rPr>
            </w:pPr>
            <w:r>
              <w:rPr>
                <w:rFonts w:ascii="Times New Roman" w:cs="Times New Roman" w:eastAsia="Times New Roman" w:hAnsi="Times New Roman"/>
                <w:sz w:val="18"/>
                <w:szCs w:val="18"/>
                <w:color w:val="231F20"/>
                <w:w w:val="99"/>
              </w:rPr>
              <w:t>Noah Second Quarter and Half Year 2024 Earnings Conference Call</w:t>
            </w: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Date/Time:</w:t>
            </w:r>
          </w:p>
        </w:tc>
        <w:tc>
          <w:tcPr>
            <w:tcW w:w="5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Wednesday, August 28, 2024 at 8:00 p.m., U.S. Eastern Time</w:t>
            </w:r>
          </w:p>
        </w:tc>
      </w:tr>
      <w:tr>
        <w:trPr>
          <w:trHeight w:val="234"/>
        </w:trPr>
        <w:tc>
          <w:tcPr>
            <w:tcW w:w="2780" w:type="dxa"/>
            <w:vAlign w:val="bottom"/>
          </w:tcPr>
          <w:p>
            <w:pPr>
              <w:spacing w:after="0"/>
              <w:rPr>
                <w:sz w:val="20"/>
                <w:szCs w:val="20"/>
                <w:color w:val="auto"/>
              </w:rPr>
            </w:pPr>
          </w:p>
        </w:tc>
        <w:tc>
          <w:tcPr>
            <w:tcW w:w="5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Thursday, August 29, 2024 at 8:00 a.m., Hong Kong Time</w:t>
            </w:r>
          </w:p>
        </w:tc>
      </w:tr>
      <w:tr>
        <w:trPr>
          <w:trHeight w:val="41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Dial in:</w:t>
            </w:r>
          </w:p>
        </w:tc>
        <w:tc>
          <w:tcPr>
            <w:tcW w:w="5520" w:type="dxa"/>
            <w:vAlign w:val="bottom"/>
          </w:tcPr>
          <w:p>
            <w:pPr>
              <w:spacing w:after="0"/>
              <w:rPr>
                <w:sz w:val="24"/>
                <w:szCs w:val="24"/>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–Hong Kong Toll Free:</w:t>
            </w:r>
          </w:p>
        </w:tc>
        <w:tc>
          <w:tcPr>
            <w:tcW w:w="552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800-963976</w:t>
            </w: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–United States Toll Free:</w:t>
            </w:r>
          </w:p>
        </w:tc>
        <w:tc>
          <w:tcPr>
            <w:tcW w:w="552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1-888-317-6003</w:t>
            </w: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–Mainland China Toll Free:</w:t>
            </w:r>
          </w:p>
        </w:tc>
        <w:tc>
          <w:tcPr>
            <w:tcW w:w="552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4001-206115</w:t>
            </w: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–International Toll:</w:t>
            </w:r>
          </w:p>
        </w:tc>
        <w:tc>
          <w:tcPr>
            <w:tcW w:w="552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1-412-317-6061</w:t>
            </w: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Participant Password:</w:t>
            </w:r>
          </w:p>
        </w:tc>
        <w:tc>
          <w:tcPr>
            <w:tcW w:w="552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3101709</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A telephone replay will be available starting approximately one hour after the end of the conference until September 4, 2024 at 1-877-344-7529 (US Toll Free) and 1-412-317-0088 (International Toll) with the access code 3826921.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A live and archived webcast of the conference call will be available at the Company’s investor relations website under the “News &amp; Events” section at </w:t>
      </w:r>
      <w:r>
        <w:rPr>
          <w:rFonts w:ascii="Times New Roman" w:cs="Times New Roman" w:eastAsia="Times New Roman" w:hAnsi="Times New Roman"/>
          <w:sz w:val="18"/>
          <w:szCs w:val="18"/>
          <w:b w:val="1"/>
          <w:bCs w:val="1"/>
          <w:u w:val="single" w:color="auto"/>
          <w:color w:val="231F20"/>
        </w:rPr>
        <w:t>http://ir.noahgroup.com</w:t>
      </w:r>
      <w:r>
        <w:rPr>
          <w:rFonts w:ascii="Times New Roman" w:cs="Times New Roman" w:eastAsia="Times New Roman" w:hAnsi="Times New Roman"/>
          <w:sz w:val="18"/>
          <w:szCs w:val="18"/>
          <w:color w:val="231F20"/>
        </w:rPr>
        <w:t>.</w:t>
      </w:r>
    </w:p>
    <w:p>
      <w:pPr>
        <w:spacing w:after="0" w:line="162"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b w:val="1"/>
          <w:bCs w:val="1"/>
          <w:color w:val="231F20"/>
        </w:rPr>
        <w:t>Noah Holdings Private Wealth and Asset Management Limited</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231F20"/>
        </w:rPr>
        <w:t>Jingbo Wang</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i w:val="1"/>
          <w:iCs w:val="1"/>
          <w:color w:val="231F20"/>
        </w:rPr>
        <w:t>Chairwoman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August 16, 2024</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comprises Ms. Jingbo Wang, the chairwoman and Mr. Zhe Yin as Directors; Ms. Chia-Yue Chang, Mr. Kai Wang, Mr. Boquan He and Mr. David Zhang as non-executive Directors; and Ms. Xiangrong Li, Ms. Cynthia Jinhong Meng and Ms. May Yihong Wu as independent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2024-08-16T07:22:44Z</dcterms:created>
  <dcterms:modified xsi:type="dcterms:W3CDTF">2024-08-16T07:22:44Z</dcterms:modified>
</cp:coreProperties>
</file>