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Noah Holdings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No. 1226, South Shenbin Road, Minhang District,</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+86 (21) 8035-8292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Press Release — Noah Holdings Limited Announces Unaudited Financial Results for the Second Quarter of 2024</w:t>
      </w:r>
    </w:p>
    <w:p>
      <w:pPr>
        <w:spacing w:after="0" w:line="2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99.2</w:t>
      </w:r>
      <w:r>
        <w:rPr>
          <w:sz w:val="20"/>
          <w:szCs w:val="20"/>
          <w:color w:val="auto"/>
        </w:rPr>
        <w:tab/>
      </w:r>
      <w:r>
        <w:rPr>
          <w:rFonts w:ascii="Times New Roman" w:cs="Times New Roman" w:eastAsia="Times New Roman" w:hAnsi="Times New Roman"/>
          <w:sz w:val="18"/>
          <w:szCs w:val="18"/>
          <w:u w:val="single" w:color="auto"/>
          <w:color w:val="0000EE"/>
        </w:rPr>
        <w:t>Press Release — Noah Holdings Announces US$50 Million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Qing Pan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 ANNOUNCES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RESULTS FOR THE SECOND QUARTER OF 2024</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SHANGHAI, August 29, 2024 — Noah Holdings Limited ("Noah" or the "Company") (NYSE: NOAH and HKEX: 6686), a leading and pioneer wealth management service provider offering comprehensive one-stop advisory services on global investment and asset allocation primarily for Mandarin-speaking high-net-worth investors, today announced its unaudited financial results for the second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HIGHLIGHTS</w:t>
      </w:r>
    </w:p>
    <w:p>
      <w:pPr>
        <w:spacing w:after="0" w:line="225" w:lineRule="exact"/>
        <w:rPr>
          <w:sz w:val="20"/>
          <w:szCs w:val="20"/>
          <w:color w:val="auto"/>
        </w:rPr>
      </w:pPr>
    </w:p>
    <w:p>
      <w:pPr>
        <w:ind w:left="340" w:hanging="332"/>
        <w:spacing w:after="0" w:line="234" w:lineRule="exact"/>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for the second quarter of 2024 were RMB615.8 million (US$84.7 million), a 34.6% decrease from the corresponding period in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5.2% decrease from the first quarter of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primarily due to a decrease in distribution of insurance products.</w:t>
      </w:r>
    </w:p>
    <w:p>
      <w:pPr>
        <w:spacing w:after="0" w:line="211" w:lineRule="exact"/>
        <w:rPr>
          <w:rFonts w:ascii="Times New Roman" w:cs="Times New Roman" w:eastAsia="Times New Roman" w:hAnsi="Times New Roman"/>
          <w:sz w:val="18"/>
          <w:szCs w:val="18"/>
          <w:color w:val="auto"/>
        </w:rPr>
      </w:pPr>
    </w:p>
    <w:p>
      <w:pPr>
        <w:ind w:left="340" w:righ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mainland China for the second quarter of 2024 were RMB337.2 million (US$46.4 million), a 38.5% decrease from the corresponding period in 2023, mainly due to a decrease in distribution of insurance products as well as private secondary products.</w:t>
      </w:r>
    </w:p>
    <w:p>
      <w:pPr>
        <w:spacing w:after="0" w:line="161" w:lineRule="exact"/>
        <w:rPr>
          <w:rFonts w:ascii="Times New Roman" w:cs="Times New Roman" w:eastAsia="Times New Roman" w:hAnsi="Times New Roman"/>
          <w:sz w:val="18"/>
          <w:szCs w:val="18"/>
          <w:color w:val="auto"/>
        </w:rPr>
      </w:pPr>
    </w:p>
    <w:p>
      <w:pPr>
        <w:ind w:left="34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from overseas for the second quarter of 2024 were RMB278.6 million (US$38.3 million), a 29.2% decrease from the corresponding period of 2023, mainly due to a decrease in one-time commissions from insurance products.</w:t>
      </w:r>
    </w:p>
    <w:p>
      <w:pPr>
        <w:sectPr>
          <w:pgSz w:w="11900" w:h="16838" w:orient="portrait"/>
          <w:cols w:equalWidth="0" w:num="1">
            <w:col w:w="11240"/>
          </w:cols>
          <w:pgMar w:left="320" w:top="333"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segment is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(RMB millions,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except percentages)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Wealth management</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 management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businesses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2023</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2024</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YoY Change</w:t>
            </w:r>
          </w:p>
        </w:tc>
        <w:tc>
          <w:tcPr>
            <w:tcW w:w="200" w:type="dxa"/>
            <w:vAlign w:val="bottom"/>
            <w:gridSpan w:val="2"/>
          </w:tcPr>
          <w:p>
            <w:pPr>
              <w:spacing w:after="0"/>
              <w:rPr>
                <w:sz w:val="20"/>
                <w:szCs w:val="20"/>
                <w:color w:val="auto"/>
              </w:rPr>
            </w:pPr>
          </w:p>
        </w:tc>
      </w:tr>
      <w:tr>
        <w:trPr>
          <w:trHeight w:val="191"/>
        </w:trPr>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745.3</w:t>
            </w:r>
          </w:p>
        </w:tc>
        <w:tc>
          <w:tcPr>
            <w:tcW w:w="22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415.6</w:t>
            </w:r>
          </w:p>
        </w:tc>
        <w:tc>
          <w:tcPr>
            <w:tcW w:w="220" w:type="dxa"/>
            <w:vAlign w:val="bottom"/>
          </w:tcPr>
          <w:p>
            <w:pPr>
              <w:spacing w:after="0"/>
              <w:rPr>
                <w:sz w:val="16"/>
                <w:szCs w:val="16"/>
                <w:color w:val="auto"/>
              </w:rPr>
            </w:pPr>
          </w:p>
        </w:tc>
        <w:tc>
          <w:tcPr>
            <w:tcW w:w="140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(44.2)%</w:t>
            </w:r>
          </w:p>
        </w:tc>
      </w:tr>
      <w:tr>
        <w:trPr>
          <w:trHeight w:val="216"/>
        </w:trPr>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-325120</wp:posOffset>
            </wp:positionV>
            <wp:extent cx="691769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-608330</wp:posOffset>
            </wp:positionV>
            <wp:extent cx="691769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17690" cy="14605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6300" w:space="720"/>
            <w:col w:w="4220"/>
          </w:cols>
          <w:pgMar w:left="320" w:top="333" w:right="339" w:bottom="1440" w:gutter="0" w:footer="0" w:header="0"/>
          <w:type w:val="continuous"/>
        </w:sectPr>
      </w:pP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(RMB millions,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except percentages)</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2023</w:t>
            </w: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2024</w:t>
            </w:r>
          </w:p>
        </w:tc>
        <w:tc>
          <w:tcPr>
            <w:tcW w:w="2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YoY Change</w:t>
            </w:r>
          </w:p>
        </w:tc>
        <w:tc>
          <w:tcPr>
            <w:tcW w:w="200" w:type="dxa"/>
            <w:vAlign w:val="bottom"/>
            <w:tcBorders>
              <w:bottom w:val="single" w:sz="8" w:color="CCEEFF"/>
            </w:tcBorders>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Overseas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6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right="160" w:hanging="332"/>
        <w:spacing w:after="0" w:line="26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for the second quarter of 2024 was RMB134.0 million (US$18.4 million), a 61.6% decrease from the corresponding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2023, mainly due to the 34.6% decrease in net revenues. Income from operations increased 10.3% sequentially, mainly due to the effective cost control measures implemented in the second quarter of 2024.</w:t>
      </w:r>
    </w:p>
    <w:p>
      <w:pPr>
        <w:sectPr>
          <w:pgSz w:w="11900" w:h="16838" w:orient="portrait"/>
          <w:cols w:equalWidth="0" w:num="1">
            <w:col w:w="11240"/>
          </w:cols>
          <w:pgMar w:left="320" w:top="333" w:right="33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 by segment is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(RMB millions,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except percentages)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Wealth management</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 management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businesses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income from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2023</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2024</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YoY Change</w:t>
            </w:r>
          </w:p>
        </w:tc>
        <w:tc>
          <w:tcPr>
            <w:tcW w:w="200" w:type="dxa"/>
            <w:vAlign w:val="bottom"/>
            <w:gridSpan w:val="2"/>
          </w:tcPr>
          <w:p>
            <w:pPr>
              <w:spacing w:after="0"/>
              <w:rPr>
                <w:sz w:val="20"/>
                <w:szCs w:val="20"/>
                <w:color w:val="auto"/>
              </w:rPr>
            </w:pPr>
          </w:p>
        </w:tc>
      </w:tr>
      <w:tr>
        <w:trPr>
          <w:trHeight w:val="191"/>
        </w:trPr>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300.2</w:t>
            </w:r>
          </w:p>
        </w:tc>
        <w:tc>
          <w:tcPr>
            <w:tcW w:w="22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65.5</w:t>
            </w:r>
          </w:p>
        </w:tc>
        <w:tc>
          <w:tcPr>
            <w:tcW w:w="220" w:type="dxa"/>
            <w:vAlign w:val="bottom"/>
          </w:tcPr>
          <w:p>
            <w:pPr>
              <w:spacing w:after="0"/>
              <w:rPr>
                <w:sz w:val="16"/>
                <w:szCs w:val="16"/>
                <w:color w:val="auto"/>
              </w:rPr>
            </w:pPr>
          </w:p>
        </w:tc>
        <w:tc>
          <w:tcPr>
            <w:tcW w:w="140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(78.2)%</w:t>
            </w:r>
          </w:p>
        </w:tc>
      </w:tr>
      <w:tr>
        <w:trPr>
          <w:trHeight w:val="216"/>
        </w:trPr>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-325120</wp:posOffset>
            </wp:positionV>
            <wp:extent cx="691769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17690" cy="14605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-607695</wp:posOffset>
            </wp:positionV>
            <wp:extent cx="691769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769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720"/>
            <w:col w:w="4220"/>
          </w:cols>
          <w:pgMar w:left="320" w:top="333"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jc w:val="both"/>
        <w:ind w:left="340" w:right="1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Noah shareholders </w:t>
      </w:r>
      <w:r>
        <w:rPr>
          <w:rFonts w:ascii="Times New Roman" w:cs="Times New Roman" w:eastAsia="Times New Roman" w:hAnsi="Times New Roman"/>
          <w:sz w:val="18"/>
          <w:szCs w:val="18"/>
          <w:color w:val="auto"/>
        </w:rPr>
        <w:t>for the second quarter of 2024 was RMB99.8 million (US$13.7 million), a 68.4% decrease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in 2023, mainly due to the 61.6% decrease in income from operations and a loss from equity in affiliates recorded in the second quarter of 2024.</w:t>
      </w:r>
    </w:p>
    <w:p>
      <w:pPr>
        <w:spacing w:after="0" w:line="174" w:lineRule="exact"/>
        <w:rPr>
          <w:rFonts w:ascii="Times New Roman" w:cs="Times New Roman" w:eastAsia="Times New Roman" w:hAnsi="Times New Roman"/>
          <w:sz w:val="18"/>
          <w:szCs w:val="18"/>
          <w:color w:val="auto"/>
        </w:rPr>
      </w:pPr>
    </w:p>
    <w:p>
      <w:pPr>
        <w:ind w:left="340" w:right="420" w:hanging="332"/>
        <w:spacing w:after="0" w:line="189" w:lineRule="auto"/>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net income attributable to Noah shareholders </w:t>
      </w:r>
      <w:r>
        <w:rPr>
          <w:rFonts w:ascii="Times New Roman" w:cs="Times New Roman" w:eastAsia="Times New Roman" w:hAnsi="Times New Roman"/>
          <w:sz w:val="18"/>
          <w:szCs w:val="18"/>
          <w:color w:val="auto"/>
        </w:rPr>
        <w:t>for the second quarter of 2024 was RMB106.1 million (US$14.6 million), a 66.1%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from the corresponding period in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OPERATIONAL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Wealth Management Business</w:t>
      </w:r>
    </w:p>
    <w:p>
      <w:pPr>
        <w:spacing w:after="0" w:line="22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Noah offers global investment products and provides value-added services to global Mandarin-speaking high-net-worth investors in its wealth management business. Noah primarily distributes private equity, private secondary, mutual funds and other products denominated in RMB, USD and other currencies.</w:t>
      </w:r>
    </w:p>
    <w:p>
      <w:pPr>
        <w:spacing w:after="0" w:line="136" w:lineRule="exact"/>
        <w:rPr>
          <w:sz w:val="20"/>
          <w:szCs w:val="20"/>
          <w:color w:val="auto"/>
        </w:rPr>
      </w:pPr>
    </w:p>
    <w:p>
      <w:pPr>
        <w:ind w:left="340" w:right="6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number of registered clients </w:t>
      </w:r>
      <w:r>
        <w:rPr>
          <w:rFonts w:ascii="Times New Roman" w:cs="Times New Roman" w:eastAsia="Times New Roman" w:hAnsi="Times New Roman"/>
          <w:sz w:val="18"/>
          <w:szCs w:val="18"/>
          <w:color w:val="auto"/>
        </w:rPr>
        <w:t>as of June 30, 2024, was 459,072, a 2.8% increase from June 30, 2023, and a 0.3% increase from March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registered clients as of June 30, 2024, the number of overseas registered clients was 16,786, a 6.7% increase from March 31, 2024, and a 23.0% increase from June 30, 2023.</w:t>
      </w:r>
    </w:p>
    <w:p>
      <w:pPr>
        <w:spacing w:after="0" w:line="174" w:lineRule="exact"/>
        <w:rPr>
          <w:rFonts w:ascii="Times New Roman" w:cs="Times New Roman" w:eastAsia="Times New Roman" w:hAnsi="Times New Roman"/>
          <w:sz w:val="18"/>
          <w:szCs w:val="18"/>
          <w:color w:val="auto"/>
        </w:rPr>
      </w:pPr>
    </w:p>
    <w:p>
      <w:pPr>
        <w:jc w:val="both"/>
        <w:ind w:left="340" w:right="140" w:hanging="332"/>
        <w:spacing w:after="0" w:line="204"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Total number of active clients</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second quarter of 2024 was 8,634, a decrease of 25.2% from the second quarter of 2023 and 16.9%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2024. Among active clients during the second quarter of 2024, the number of overseas active clients was 3,244, a 62.8% increase from the second quarter of 2023, and an 18.2% increase from the first quarter of 2024.</w:t>
      </w:r>
    </w:p>
    <w:p>
      <w:pPr>
        <w:spacing w:after="0" w:line="197" w:lineRule="exact"/>
        <w:rPr>
          <w:rFonts w:ascii="Times New Roman" w:cs="Times New Roman" w:eastAsia="Times New Roman" w:hAnsi="Times New Roman"/>
          <w:sz w:val="36"/>
          <w:szCs w:val="36"/>
          <w:color w:val="auto"/>
          <w:vertAlign w:val="superscript"/>
        </w:rPr>
      </w:pPr>
    </w:p>
    <w:p>
      <w:pPr>
        <w:ind w:left="340" w:right="60" w:hanging="332"/>
        <w:spacing w:after="0" w:line="259"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value of investment products distributed </w:t>
      </w:r>
      <w:r>
        <w:rPr>
          <w:rFonts w:ascii="Times New Roman" w:cs="Times New Roman" w:eastAsia="Times New Roman" w:hAnsi="Times New Roman"/>
          <w:sz w:val="18"/>
          <w:szCs w:val="18"/>
          <w:color w:val="auto"/>
        </w:rPr>
        <w:t>during the second quarter of 2024 was RMB14.4 billion (US$2.0 billion), a 21.7% decrease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second quarter of 2023, mainly due to a 29.3% decrease in distribution of mutual fund products. The aggregate value of investment products distributed decreased by 23.7% from the first quarter of 2024, mainly due to the decrease in distribution of mutual fund products. Among the investment products distributed during the second quarter of 2024, Noah distributed RMB7.9 billion (US$1.1 billion) of overseas investment products, a 40.8% increase from the second quarter of 2023, primarily due to an 80.9% increase in distribution of overseas mutual fund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aggregate value of investment products distributed, categorized by product type, is as follows: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type</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5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50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(RMB in billions, except percentages)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 products</w:t>
            </w: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secondary products</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products</w:t>
            </w:r>
          </w:p>
        </w:tc>
        <w:tc>
          <w:tcPr>
            <w:tcW w:w="1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52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9"/>
                <w:szCs w:val="29"/>
                <w:color w:val="auto"/>
                <w:vertAlign w:val="superscript"/>
              </w:rPr>
              <w:t>3</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3"/>
                <w:szCs w:val="23"/>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products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3" w:lineRule="exact"/>
        <w:rPr>
          <w:sz w:val="20"/>
          <w:szCs w:val="20"/>
          <w:color w:val="auto"/>
        </w:rPr>
      </w:pPr>
    </w:p>
    <w:p>
      <w:pPr>
        <w:ind w:right="20" w:firstLine="8"/>
        <w:spacing w:after="0" w:line="195" w:lineRule="auto"/>
        <w:tabs>
          <w:tab w:leader="none" w:pos="131"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Noah’s Non-GAAP financial measures are its corresponding GAAP financial measures excluding the effects of all forms of share-based compensation, non-cash settlement expenses and net of relevant tax impact, if any. See “Reconciliation of GAAP to Non-GAAP Results” at the end of this press release.</w:t>
      </w:r>
    </w:p>
    <w:p>
      <w:pPr>
        <w:spacing w:after="0" w:line="24" w:lineRule="exact"/>
        <w:rPr>
          <w:sz w:val="20"/>
          <w:szCs w:val="20"/>
          <w:color w:val="auto"/>
        </w:rPr>
      </w:pPr>
    </w:p>
    <w:p>
      <w:pPr>
        <w:ind w:right="20" w:firstLine="8"/>
        <w:spacing w:after="0" w:line="195"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“Active clients” for a given period refers to registered clients who purchase investment products distributed or receive services provided by the Company during that given period.</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“Other products” refers to other investment products, which includes insurance products, multi-strategies products and others.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07" w:lineRule="exact"/>
        <w:rPr>
          <w:sz w:val="20"/>
          <w:szCs w:val="20"/>
          <w:color w:val="auto"/>
        </w:rPr>
      </w:pPr>
      <w:r>
        <w:rPr>
          <w:rFonts w:ascii="Times New Roman" w:cs="Times New Roman" w:eastAsia="Times New Roman" w:hAnsi="Times New Roman"/>
          <w:sz w:val="18"/>
          <w:szCs w:val="18"/>
          <w:b w:val="1"/>
          <w:bCs w:val="1"/>
          <w:color w:val="auto"/>
        </w:rPr>
        <w:t>The aggregate value of investment products distributed, categorized by geography, is as follows</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4672330</wp:posOffset>
            </wp:positionH>
            <wp:positionV relativeFrom="paragraph">
              <wp:posOffset>-88900</wp:posOffset>
            </wp:positionV>
            <wp:extent cx="43180" cy="88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 of products in Mainland China</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5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56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(RMB in billions, except percentages)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 products</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79.1%</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5.0</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secondary products</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10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1.2</w:t>
            </w:r>
          </w:p>
        </w:tc>
        <w:tc>
          <w:tcPr>
            <w:tcW w:w="4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products</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products</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0.3</w:t>
            </w: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products in Mainland China</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 of overseas products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5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56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(RMB in billions, except percentages)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 products</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3.5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secondary products</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41.7%</w:t>
            </w:r>
          </w:p>
        </w:tc>
        <w:tc>
          <w:tcPr>
            <w:tcW w:w="10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2.9</w:t>
            </w:r>
          </w:p>
        </w:tc>
        <w:tc>
          <w:tcPr>
            <w:tcW w:w="4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products</w:t>
            </w:r>
          </w:p>
        </w:tc>
        <w:tc>
          <w:tcPr>
            <w:tcW w:w="1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1.1</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products</w:t>
            </w: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0.4</w:t>
            </w:r>
          </w:p>
        </w:tc>
        <w:tc>
          <w:tcPr>
            <w:tcW w:w="4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Overseas products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right="720" w:hanging="332"/>
        <w:spacing w:after="0" w:line="28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Coverage network </w:t>
      </w:r>
      <w:r>
        <w:rPr>
          <w:rFonts w:ascii="Times New Roman" w:cs="Times New Roman" w:eastAsia="Times New Roman" w:hAnsi="Times New Roman"/>
          <w:sz w:val="18"/>
          <w:szCs w:val="18"/>
          <w:color w:val="auto"/>
        </w:rPr>
        <w:t>in mainland China included 15 cities as of June 30, 2024, compared with 63 cities as of June 30, 2023, and 18 cities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2024, as the Company continued to streamline its coverage across mainland China.</w:t>
      </w:r>
    </w:p>
    <w:p>
      <w:pPr>
        <w:spacing w:after="0" w:line="154" w:lineRule="exact"/>
        <w:rPr>
          <w:rFonts w:ascii="Times New Roman" w:cs="Times New Roman" w:eastAsia="Times New Roman" w:hAnsi="Times New Roman"/>
          <w:sz w:val="18"/>
          <w:szCs w:val="18"/>
          <w:color w:val="auto"/>
        </w:rPr>
      </w:pPr>
    </w:p>
    <w:p>
      <w:pPr>
        <w:ind w:left="340" w:right="40" w:hanging="332"/>
        <w:spacing w:after="0" w:line="26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number of overseas relationship managers </w:t>
      </w:r>
      <w:r>
        <w:rPr>
          <w:rFonts w:ascii="Times New Roman" w:cs="Times New Roman" w:eastAsia="Times New Roman" w:hAnsi="Times New Roman"/>
          <w:sz w:val="18"/>
          <w:szCs w:val="18"/>
          <w:color w:val="auto"/>
        </w:rPr>
        <w:t>was 113 as of June 30, 2024, a 24.2% increase from March 31, 2024. Since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managers in mainland China are divided into different teams, each focusing on an independent business unit dedicated to offering clients mutual fund and private secondary products, insurance products, or private equity products, the Company no longer considers it meaningful to disclose an aggregate number of relationship managers in mainland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 Business</w:t>
      </w:r>
    </w:p>
    <w:p>
      <w:pPr>
        <w:spacing w:after="0" w:line="22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Noah's asset management business is conducted through Gopher Asset Management Co., Ltd. ("Gopher Asset Management"), a leading multi-asset manager in China with global investment capabilities and overseas offices in Hong Kong and the United States. Gopher Asset Management develops and manages assets ranging from private equity, real estate, public securities to multi-strategy investments denominated in RMB, USD and other currencies.</w:t>
      </w:r>
    </w:p>
    <w:p>
      <w:pPr>
        <w:spacing w:after="0" w:line="154" w:lineRule="exact"/>
        <w:rPr>
          <w:sz w:val="20"/>
          <w:szCs w:val="20"/>
          <w:color w:val="auto"/>
        </w:rPr>
      </w:pPr>
    </w:p>
    <w:p>
      <w:pPr>
        <w:ind w:left="340" w:right="240" w:hanging="332"/>
        <w:spacing w:after="0" w:line="28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assets under management </w:t>
      </w:r>
      <w:r>
        <w:rPr>
          <w:rFonts w:ascii="Times New Roman" w:cs="Times New Roman" w:eastAsia="Times New Roman" w:hAnsi="Times New Roman"/>
          <w:sz w:val="18"/>
          <w:szCs w:val="18"/>
          <w:color w:val="auto"/>
        </w:rPr>
        <w:t>as of June 30, 2024, remained relatively stable at RMB154.0 billion (US$21.2 billion), compared with RMB156.9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June 30, 2023, and RMB153.3 billion as of March 31, 2024.</w:t>
      </w:r>
    </w:p>
    <w:p>
      <w:pPr>
        <w:spacing w:after="0" w:line="158" w:lineRule="exact"/>
        <w:rPr>
          <w:rFonts w:ascii="Times New Roman" w:cs="Times New Roman" w:eastAsia="Times New Roman" w:hAnsi="Times New Roman"/>
          <w:sz w:val="18"/>
          <w:szCs w:val="18"/>
          <w:color w:val="auto"/>
        </w:rPr>
      </w:pPr>
    </w:p>
    <w:p>
      <w:pPr>
        <w:ind w:left="32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assets under management as of June 30, 2024, were RMB114.9 billion (US$15.8billion), compared with RMB122.7 billion as of June 30, 2023, and RMB116.1 billion as of March 31, 2024.</w:t>
      </w:r>
    </w:p>
    <w:p>
      <w:pPr>
        <w:spacing w:after="0" w:line="161" w:lineRule="exact"/>
        <w:rPr>
          <w:rFonts w:ascii="Times New Roman" w:cs="Times New Roman" w:eastAsia="Times New Roman" w:hAnsi="Times New Roman"/>
          <w:sz w:val="18"/>
          <w:szCs w:val="18"/>
          <w:color w:val="auto"/>
        </w:rPr>
      </w:pPr>
    </w:p>
    <w:p>
      <w:pPr>
        <w:ind w:left="32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Overseas assets under management as of June 30, 2024, were RMB39.1 billion (US$5.4 billion), compared with RM34.2 billion as of June 30, 2023, and RMB37.2 billion as of March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Total assets under management, categorized by investment type, are as follows: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19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00" w:type="dxa"/>
            <w:vAlign w:val="bottom"/>
          </w:tcPr>
          <w:p>
            <w:pPr>
              <w:spacing w:after="0"/>
              <w:rPr>
                <w:sz w:val="20"/>
                <w:szCs w:val="20"/>
                <w:color w:val="auto"/>
              </w:rPr>
            </w:pPr>
          </w:p>
        </w:tc>
        <w:tc>
          <w:tcPr>
            <w:tcW w:w="202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Redemption</w:t>
            </w:r>
          </w:p>
        </w:tc>
        <w:tc>
          <w:tcPr>
            <w:tcW w:w="192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84"/>
              </w:rPr>
              <w:t>(RMB billions, except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percentages)</w:t>
            </w:r>
          </w:p>
        </w:tc>
        <w:tc>
          <w:tcPr>
            <w:tcW w:w="4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131.8</w:t>
            </w:r>
          </w:p>
        </w:tc>
        <w:tc>
          <w:tcPr>
            <w:tcW w:w="5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9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gridSpan w:val="3"/>
            <w:shd w:val="clear" w:color="auto" w:fill="CCEEFF"/>
          </w:tcPr>
          <w:p>
            <w:pPr>
              <w:jc w:val="right"/>
              <w:ind w:right="260"/>
              <w:spacing w:after="0" w:line="256" w:lineRule="exact"/>
              <w:rPr>
                <w:sz w:val="20"/>
                <w:szCs w:val="20"/>
                <w:color w:val="auto"/>
              </w:rPr>
            </w:pPr>
            <w:r>
              <w:rPr>
                <w:rFonts w:ascii="Times New Roman" w:cs="Times New Roman" w:eastAsia="Times New Roman" w:hAnsi="Times New Roman"/>
                <w:sz w:val="18"/>
                <w:szCs w:val="18"/>
                <w:color w:val="auto"/>
              </w:rPr>
              <w:t xml:space="preserve">(0.5) </w:t>
            </w:r>
            <w:r>
              <w:rPr>
                <w:rFonts w:ascii="Times New Roman" w:cs="Times New Roman" w:eastAsia="Times New Roman" w:hAnsi="Times New Roman"/>
                <w:sz w:val="29"/>
                <w:szCs w:val="29"/>
                <w:color w:val="auto"/>
                <w:vertAlign w:val="superscript"/>
              </w:rPr>
              <w:t>4</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c>
          <w:tcPr>
            <w:tcW w:w="50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57"/>
        </w:trPr>
        <w:tc>
          <w:tcPr>
            <w:tcW w:w="2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Public securities</w:t>
            </w:r>
            <w:r>
              <w:rPr>
                <w:rFonts w:ascii="Times New Roman" w:cs="Times New Roman" w:eastAsia="Times New Roman" w:hAnsi="Times New Roman"/>
                <w:sz w:val="29"/>
                <w:szCs w:val="29"/>
                <w:color w:val="auto"/>
                <w:vertAlign w:val="superscript"/>
              </w:rPr>
              <w:t>5</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22"/>
                <w:szCs w:val="22"/>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94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3.0</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2"/>
                <w:szCs w:val="22"/>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4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Multi-strategies</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Investments</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 under management, categorized by geography, are as follows: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Mainland China</w:t>
            </w:r>
          </w:p>
        </w:tc>
        <w:tc>
          <w:tcPr>
            <w:tcW w:w="19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Allocation/</w:t>
            </w:r>
          </w:p>
        </w:tc>
        <w:tc>
          <w:tcPr>
            <w:tcW w:w="19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(RMB billions, except percentages)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securities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Multi-strategies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Investments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116.1</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0"/>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Overseas</w:t>
            </w:r>
          </w:p>
        </w:tc>
        <w:tc>
          <w:tcPr>
            <w:tcW w:w="19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Allocation/</w:t>
            </w:r>
          </w:p>
        </w:tc>
        <w:tc>
          <w:tcPr>
            <w:tcW w:w="19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2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22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(RMB billions, except percentages)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securities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Multi-strategies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2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Investments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Noah's other businesses mainly include providing clients with additional comprehensive services and investment products. Operating results for other businesses also include headquarter rental income, depreciation and amortization, as well as operating expenses.</w:t>
      </w:r>
    </w:p>
    <w:p>
      <w:pPr>
        <w:spacing w:after="0" w:line="162"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Ms. Jingbo Wang, co-founder and chairwoman of Noah, commented, “The pace of our overseas expansion is gaining momentum as client demand for global asset allocation strengthens, with overseas revenue contribution increasing to 46.3% in the first half of 2024. While sluggish domestic markets continued to impact our business during the quarter, our investments in expanding our global product portfolio and distribution networks are starting to yield results, with overseas assets under management increasing 14.3% year-over-year. We have also raised US$338 million for overseas private equity, private credit, and other primary market funds year-to-date, a significant 40.2% year-over-year increase. Additionally, our team of overseas relationship managers directly supporting this expansion grew 101.8% year-over-year and 24.2% sequentially. While we are still in the relatively early stages of our overseas expansion, these results reflect the direction we are headed in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3"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asset allocation/redemption of overseas investment products includes the fluctuation result of foreign currencies exchange rate.</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 asset allocation/redemption of public securities also includes market appreciation or depreciation.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right="20"/>
        <w:spacing w:after="0" w:line="261" w:lineRule="auto"/>
        <w:rPr>
          <w:sz w:val="20"/>
          <w:szCs w:val="20"/>
          <w:color w:val="auto"/>
        </w:rPr>
      </w:pPr>
      <w:r>
        <w:rPr>
          <w:rFonts w:ascii="Times New Roman" w:cs="Times New Roman" w:eastAsia="Times New Roman" w:hAnsi="Times New Roman"/>
          <w:sz w:val="18"/>
          <w:szCs w:val="18"/>
          <w:color w:val="auto"/>
        </w:rPr>
        <w:t>“Domestically, we are focused on stabilizing operations by streamlining our branch network to reduce overhead costs and adjusting our client service model to comply with evolving regulatory requirements by separating relationship and business development managers into different independent business units. While these initiatives may temporarily impact business activity over the next few quarters, they will ensure our ability to effectively and compliantly serve clients with a comprehensive portfolio of products in the long term.”</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interim, we are rewarding shareholders with enhanced capital returns for their long-term support with a US$50 million share repurchase program. This share repurchase program, along with the full year 2023 final and special dividend payout we just completed earlier this month, reflects</w:t>
      </w:r>
    </w:p>
    <w:p>
      <w:pPr>
        <w:ind w:right="20"/>
        <w:spacing w:after="0" w:line="252" w:lineRule="auto"/>
        <w:rPr>
          <w:sz w:val="20"/>
          <w:szCs w:val="20"/>
          <w:color w:val="auto"/>
        </w:rPr>
      </w:pPr>
      <w:r>
        <w:rPr>
          <w:rFonts w:ascii="Times New Roman" w:cs="Times New Roman" w:eastAsia="Times New Roman" w:hAnsi="Times New Roman"/>
          <w:sz w:val="18"/>
          <w:szCs w:val="18"/>
          <w:color w:val="auto"/>
        </w:rPr>
        <w:t>our unwavering commitment to prioritizing shareholder interests and delivering sustained returns. While China’s wealth management industry is navigating a challenging period and undergoing a transition, we remain confident in our unique advantages stemming from our deep understanding of Mandarin-speaking high-net-worth individuals’ (HNWI) needs and our ability to deliver products and services to this still-growing client base. We are one of a few independent firms that maintains access, through years of investor education, to a large group of qualified individual investors who continue to seek professional services. As such, we believe that our stock is deeply undervalued and does not reflect our growth prospects, robust balance sheet and cash reserves, or the special bond we have formed with Mandarin-speaking HNWIs globally. We value both our long-term and new shareholders and are committed to sharing our success with them through more proactive capital allocation policies moving forward.”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for the second quarter of 2024 were RMB615.8 million (US$84.7 million), a 34.6% decrease from the corresponding period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a decrease in distribution of insurance products.</w:t>
      </w:r>
    </w:p>
    <w:p>
      <w:pPr>
        <w:spacing w:after="0" w:line="15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Wealth Management Business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revenues from one-time commissions </w:t>
      </w:r>
      <w:r>
        <w:rPr>
          <w:rFonts w:ascii="Times New Roman" w:cs="Times New Roman" w:eastAsia="Times New Roman" w:hAnsi="Times New Roman"/>
          <w:sz w:val="18"/>
          <w:szCs w:val="18"/>
          <w:color w:val="auto"/>
        </w:rPr>
        <w:t>for the second quarter of 2024 were RMB136.4 million (US$18.8 million), a 66.2% decrease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in 2023, primarily due to a decrease in distribution of insurance products.</w:t>
      </w:r>
    </w:p>
    <w:p>
      <w:pPr>
        <w:spacing w:after="0" w:line="154"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revenues from recurring service fees </w:t>
      </w:r>
      <w:r>
        <w:rPr>
          <w:rFonts w:ascii="Times New Roman" w:cs="Times New Roman" w:eastAsia="Times New Roman" w:hAnsi="Times New Roman"/>
          <w:sz w:val="18"/>
          <w:szCs w:val="18"/>
          <w:color w:val="auto"/>
        </w:rPr>
        <w:t>for the second quarter of 2024 were RMB235.5 million (US$32.4 million), a 12.5% decrease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in 2023, primarily due to a decrease in recurring service fees from private secondary products associated with the decrease in assets under management in Mainland China.</w:t>
      </w:r>
    </w:p>
    <w:p>
      <w:pPr>
        <w:spacing w:after="0" w:line="170"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revenues from performance-based income </w:t>
      </w:r>
      <w:r>
        <w:rPr>
          <w:rFonts w:ascii="Times New Roman" w:cs="Times New Roman" w:eastAsia="Times New Roman" w:hAnsi="Times New Roman"/>
          <w:sz w:val="18"/>
          <w:szCs w:val="18"/>
          <w:color w:val="auto"/>
        </w:rPr>
        <w:t>for the second quarter of 2024 were RMB4.5 million (US$0.6 million), a 79.0% decrease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corresponding period of 2023, primarily due to a decrease in performance-based income from offshore private equity products.</w:t>
      </w:r>
    </w:p>
    <w:p>
      <w:pPr>
        <w:spacing w:after="0" w:line="154"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revenues from other service fees </w:t>
      </w:r>
      <w:r>
        <w:rPr>
          <w:rFonts w:ascii="Times New Roman" w:cs="Times New Roman" w:eastAsia="Times New Roman" w:hAnsi="Times New Roman"/>
          <w:sz w:val="18"/>
          <w:szCs w:val="18"/>
          <w:color w:val="auto"/>
        </w:rPr>
        <w:t>for the second quarter of 2024 were RMB39.2 million (US$5.4 million), a 22.7% decrease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in 2023, primarily due to a decrease in the value-added services Noah offers to its high-net-worth clients.</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Asset Management Business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revenues from recurring service fees </w:t>
      </w:r>
      <w:r>
        <w:rPr>
          <w:rFonts w:ascii="Times New Roman" w:cs="Times New Roman" w:eastAsia="Times New Roman" w:hAnsi="Times New Roman"/>
          <w:sz w:val="18"/>
          <w:szCs w:val="18"/>
          <w:color w:val="auto"/>
        </w:rPr>
        <w:t>for the second quarter of 2024 were RMB168.9 million (US$23.2 million), a 4.5% decrease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in 2023, primarily due to a decrease in recurring service fees generated from RMB private equity products.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660" w:hanging="328"/>
        <w:spacing w:after="0" w:line="268" w:lineRule="auto"/>
        <w:tabs>
          <w:tab w:leader="none" w:pos="6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revenues from performance-based income </w:t>
      </w:r>
      <w:r>
        <w:rPr>
          <w:rFonts w:ascii="Times New Roman" w:cs="Times New Roman" w:eastAsia="Times New Roman" w:hAnsi="Times New Roman"/>
          <w:sz w:val="18"/>
          <w:szCs w:val="18"/>
          <w:color w:val="auto"/>
        </w:rPr>
        <w:t>for the second quarter of 2024 were RMB23.4 million (US$3.2 million),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RMB6.5 million in the corresponding period of 2023. The increase was primarily due to an increase in performance-based income realized from private equity products.</w:t>
      </w:r>
    </w:p>
    <w:p>
      <w:pPr>
        <w:spacing w:after="0" w:line="17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Businesses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for the second quarter of 2024 were RMB7.9 million (US$1.1 million), compared with RMB13.1 million for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Operating costs and expenses </w:t>
      </w:r>
      <w:r>
        <w:rPr>
          <w:rFonts w:ascii="Times New Roman" w:cs="Times New Roman" w:eastAsia="Times New Roman" w:hAnsi="Times New Roman"/>
          <w:sz w:val="18"/>
          <w:szCs w:val="18"/>
          <w:color w:val="auto"/>
        </w:rPr>
        <w:t>for the second quarter of 2024 were RMB481.8 million (US$66.3 million), an 18.7% decrease from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2023. Operating costs and expenses primarily consisted of 1) compensation and benefits of RMB297.0 million (US$40.9 million); 2) selling expenses of RMB61.9 million (US$8.5 million); 3) general and administrative expenses of RMB79.9 million (US$11.0 million); 4) reversal of credit losses of RMB0.3 million; and 5) other operating expenses of RMB46.0 million (US$6.3 million).</w:t>
      </w:r>
    </w:p>
    <w:p>
      <w:pPr>
        <w:spacing w:after="0" w:line="176" w:lineRule="exact"/>
        <w:rPr>
          <w:sz w:val="20"/>
          <w:szCs w:val="20"/>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costs and expenses for the wealth management business </w:t>
      </w:r>
      <w:r>
        <w:rPr>
          <w:rFonts w:ascii="Times New Roman" w:cs="Times New Roman" w:eastAsia="Times New Roman" w:hAnsi="Times New Roman"/>
          <w:sz w:val="18"/>
          <w:szCs w:val="18"/>
          <w:color w:val="auto"/>
        </w:rPr>
        <w:t>for the second quarter of 2024 were RMB350.1 million (US$48.2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21.3% decrease from the corresponding period in 2023, primarily due to decreases of 22.6% in compensation and benefits and 49.0% in selling expenses.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costs and expenses for the asset management business </w:t>
      </w:r>
      <w:r>
        <w:rPr>
          <w:rFonts w:ascii="Times New Roman" w:cs="Times New Roman" w:eastAsia="Times New Roman" w:hAnsi="Times New Roman"/>
          <w:sz w:val="18"/>
          <w:szCs w:val="18"/>
          <w:color w:val="auto"/>
        </w:rPr>
        <w:t>for the second quarter of 2024 were RMB105.8 million (US$14.6 million),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 increase from the corresponding period in 2023, primarily due to an increase in other operating expenses which was partially offset by a decrease in compensation and benefits and selling expenses.</w:t>
      </w:r>
    </w:p>
    <w:p>
      <w:pPr>
        <w:spacing w:after="0" w:line="170"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costs and expenses for other businesses </w:t>
      </w:r>
      <w:r>
        <w:rPr>
          <w:rFonts w:ascii="Times New Roman" w:cs="Times New Roman" w:eastAsia="Times New Roman" w:hAnsi="Times New Roman"/>
          <w:sz w:val="18"/>
          <w:szCs w:val="18"/>
          <w:color w:val="auto"/>
        </w:rPr>
        <w:t>for the second quarter of 2024 were RMB25.9 million (US$3.6 million),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RMB44.8 million from the corresponding 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margin </w:t>
      </w:r>
      <w:r>
        <w:rPr>
          <w:rFonts w:ascii="Times New Roman" w:cs="Times New Roman" w:eastAsia="Times New Roman" w:hAnsi="Times New Roman"/>
          <w:sz w:val="18"/>
          <w:szCs w:val="18"/>
          <w:color w:val="auto"/>
        </w:rPr>
        <w:t>for the second quarter of 2024 was 21.8%, a decrease from 37.1% in the corresponding period of 2023.</w:t>
      </w:r>
    </w:p>
    <w:p>
      <w:pPr>
        <w:spacing w:after="0" w:line="225" w:lineRule="exact"/>
        <w:rPr>
          <w:sz w:val="20"/>
          <w:szCs w:val="20"/>
          <w:color w:val="auto"/>
        </w:rPr>
      </w:pPr>
    </w:p>
    <w:p>
      <w:pPr>
        <w:ind w:left="6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margin for the wealth management business </w:t>
      </w:r>
      <w:r>
        <w:rPr>
          <w:rFonts w:ascii="Times New Roman" w:cs="Times New Roman" w:eastAsia="Times New Roman" w:hAnsi="Times New Roman"/>
          <w:sz w:val="18"/>
          <w:szCs w:val="18"/>
          <w:color w:val="auto"/>
        </w:rPr>
        <w:t>for the second quarter of 2024 was 15.8%, compared with 40.3% for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2023.</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margin for the asset management business </w:t>
      </w:r>
      <w:r>
        <w:rPr>
          <w:rFonts w:ascii="Times New Roman" w:cs="Times New Roman" w:eastAsia="Times New Roman" w:hAnsi="Times New Roman"/>
          <w:sz w:val="18"/>
          <w:szCs w:val="18"/>
          <w:color w:val="auto"/>
        </w:rPr>
        <w:t>for the second quarter of 2024 was 45.0%, compared with 44.1% for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2023.</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 for other businesses </w:t>
      </w:r>
      <w:r>
        <w:rPr>
          <w:rFonts w:ascii="Times New Roman" w:cs="Times New Roman" w:eastAsia="Times New Roman" w:hAnsi="Times New Roman"/>
          <w:sz w:val="18"/>
          <w:szCs w:val="18"/>
          <w:color w:val="auto"/>
        </w:rPr>
        <w:t>for the second quarter of 2024 was RMB18.0 million (US$2.5 million), compared with an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RMB31.7 million for the corresponding 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for the second quarter of 2024 was RMB42.6 million (US$5.9 million), a 7.3% increase from the corresponding period in 2023,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an increase in US dollar cash balances.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income </w:t>
      </w:r>
      <w:r>
        <w:rPr>
          <w:rFonts w:ascii="Times New Roman" w:cs="Times New Roman" w:eastAsia="Times New Roman" w:hAnsi="Times New Roman"/>
          <w:sz w:val="18"/>
          <w:szCs w:val="18"/>
          <w:color w:val="auto"/>
        </w:rPr>
        <w:t>for the second quarter of 2024 was RMB10.4 million (US$1.4 million), compared with investment loss RMB4.0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expenses </w:t>
      </w:r>
      <w:r>
        <w:rPr>
          <w:rFonts w:ascii="Times New Roman" w:cs="Times New Roman" w:eastAsia="Times New Roman" w:hAnsi="Times New Roman"/>
          <w:sz w:val="18"/>
          <w:szCs w:val="18"/>
          <w:color w:val="auto"/>
        </w:rPr>
        <w:t>for the second quarter of 2024 were RMB40.3 million (US$5.5 million), a 55.4% decrease from the corresponding period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less taxable income compared with the second quarter of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for the second quarter of 2024 was RMB103.7 million (US$14.3 million), a 66.8% decrease from the corresponding period in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margin </w:t>
      </w:r>
      <w:r>
        <w:rPr>
          <w:rFonts w:ascii="Times New Roman" w:cs="Times New Roman" w:eastAsia="Times New Roman" w:hAnsi="Times New Roman"/>
          <w:sz w:val="18"/>
          <w:szCs w:val="18"/>
          <w:color w:val="auto"/>
        </w:rPr>
        <w:t>for the second quarter of 2024 was 16.8%, a decrease from 33.2% in the corresponding period of 2023.</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Noah shareholders </w:t>
      </w:r>
      <w:r>
        <w:rPr>
          <w:rFonts w:ascii="Times New Roman" w:cs="Times New Roman" w:eastAsia="Times New Roman" w:hAnsi="Times New Roman"/>
          <w:sz w:val="18"/>
          <w:szCs w:val="18"/>
          <w:color w:val="auto"/>
        </w:rPr>
        <w:t>for the second quarter of 2024 was RMB99.8 million (US$13.7 million), a 68.4% decrease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corresponding period in 2023.</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margin attributable to Noah shareholders </w:t>
      </w:r>
      <w:r>
        <w:rPr>
          <w:rFonts w:ascii="Times New Roman" w:cs="Times New Roman" w:eastAsia="Times New Roman" w:hAnsi="Times New Roman"/>
          <w:sz w:val="18"/>
          <w:szCs w:val="18"/>
          <w:color w:val="auto"/>
        </w:rPr>
        <w:t>for the second quarter of 2024 was 16.2%, a decrease from 33.5% in the corresponding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Noah shareholders per basic and diluted ADS </w:t>
      </w:r>
      <w:r>
        <w:rPr>
          <w:rFonts w:ascii="Times New Roman" w:cs="Times New Roman" w:eastAsia="Times New Roman" w:hAnsi="Times New Roman"/>
          <w:sz w:val="18"/>
          <w:szCs w:val="18"/>
          <w:color w:val="auto"/>
        </w:rPr>
        <w:t>for the second quarter of 2024 was RMB1.42 (US$0.20)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RMB1.42 (US$0.20), respectively, a decrease from RMB4.54 and RMB4.54 respectively, for the corresponding period in 2023.</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Non-GAAP Net Income Attributable to Noah Shareholders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attributable to Noah shareholders </w:t>
      </w:r>
      <w:r>
        <w:rPr>
          <w:rFonts w:ascii="Times New Roman" w:cs="Times New Roman" w:eastAsia="Times New Roman" w:hAnsi="Times New Roman"/>
          <w:sz w:val="18"/>
          <w:szCs w:val="18"/>
          <w:color w:val="auto"/>
        </w:rPr>
        <w:t>for the second quarter of 2024 was RMB106.1 million (US$14.6 million), a 66.1%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from the corresponding period in 2023.</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margin attributable to Noah shareholders </w:t>
      </w:r>
      <w:r>
        <w:rPr>
          <w:rFonts w:ascii="Times New Roman" w:cs="Times New Roman" w:eastAsia="Times New Roman" w:hAnsi="Times New Roman"/>
          <w:sz w:val="18"/>
          <w:szCs w:val="18"/>
          <w:color w:val="auto"/>
        </w:rPr>
        <w:t>for the second quarter of 2024 was 17.2%, compared with 33.2%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period in 2023.</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net income attributable to Noah shareholders per diluted ADS </w:t>
      </w:r>
      <w:r>
        <w:rPr>
          <w:rFonts w:ascii="Times New Roman" w:cs="Times New Roman" w:eastAsia="Times New Roman" w:hAnsi="Times New Roman"/>
          <w:sz w:val="18"/>
          <w:szCs w:val="18"/>
          <w:color w:val="auto"/>
        </w:rPr>
        <w:t>for the second quarter of 2024 was RMB1.51 (US$0.21), 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RMB4.51 for the corresponding 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RMB4,604.9 million (US$633.7 million) in cash and cash equivalents, compared with RMB 5,129.4 million as of March 31, 2024.</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Net cash inflow from the Company’s operating activities during the second quarter of 2024 was RMB49.6 million (US$6.8 million), mainly due to cash inflow generated from net income from operations.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cash outflow from the Company’s investing activities during the second quarter of 2024 was RMB548.2 million (US$75.4 million), mainly due to cash used for short-term investments.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Net cash outflow from the Company’s financing activities was RMB44.6 million (US$6.1 million) in the second quarter of 2024, compared to net cash inflow of RMB87.0 million in the corresponding period in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announced earlier today, as part of its commitment to enhancing shareholder returns, the board of directors of the Company (“the Board”) authorized a share repurchase program under which the Company may repurchase up to US$50 million of its American depositary shares or ordinary shares, effective immediately. The authorized term for carrying out this share repurchase program is two years.</w:t>
      </w:r>
    </w:p>
    <w:p>
      <w:pPr>
        <w:spacing w:after="0" w:line="17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Company announced in November 2023 that a new capital management and shareholder return policy (the “Policy”) had been adopted, pursuant to which up to 50% the Company's non-GAAP net income attributable to shareholders of the preceding financial year will be allocated to a Corporate Actions Budget which will serve various purposes, including dividend distribution and share repurchases. The share repurchase program announced today does not form a part of the Corporate Actions Budget under the Policy. The Corporate Actions Budget based on the Company’s financial performance in 2024 is expected to be determined and announced alongside the Company’s earnings results for the fourth quarter and full year ending on December 31, 2024.</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share repurchases under the repurchase program announced today will be carried out from time to time on the open market at prevailing market prices, in privately negotiated transactions, in block trades or through other legally permissible means, depending on market conditions and will be implemented in accordance with applicable rules and regulations. The Board will review the share repurchase program periodically and may authorize adjustments of its terms and size. The Company expects to fund repurchases made under this program from its existing cash balance and cash generated from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Senior management will host a combined English and Chinese language conference call to discuss its unaudited financial results and recent business activities for the second quarter and six months ended June 30, 2024. The conference call may be accessed with the following details: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Dial-in details:</w:t>
            </w:r>
          </w:p>
        </w:tc>
        <w:tc>
          <w:tcPr>
            <w:tcW w:w="5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Conference Title:</w:t>
            </w: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Noah Second Quarter and Half Year 2024 Earnings Conference Call</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Date/Time:</w:t>
            </w: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Wednesday, August 28, 2024, at 8:00 p.m., U.S. Eastern Time</w:t>
            </w:r>
          </w:p>
        </w:tc>
        <w:tc>
          <w:tcPr>
            <w:tcW w:w="0" w:type="dxa"/>
            <w:vAlign w:val="bottom"/>
          </w:tcPr>
          <w:p>
            <w:pPr>
              <w:spacing w:after="0"/>
              <w:rPr>
                <w:sz w:val="1"/>
                <w:szCs w:val="1"/>
                <w:color w:val="auto"/>
              </w:rPr>
            </w:pPr>
          </w:p>
        </w:tc>
      </w:tr>
      <w:tr>
        <w:trPr>
          <w:trHeight w:val="234"/>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Dial in:</w:t>
            </w: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Thursday, August 29, 2024, at 8:00 a.m., Hong Kong Time</w:t>
            </w:r>
          </w:p>
        </w:tc>
        <w:tc>
          <w:tcPr>
            <w:tcW w:w="0" w:type="dxa"/>
            <w:vAlign w:val="bottom"/>
          </w:tcPr>
          <w:p>
            <w:pPr>
              <w:spacing w:after="0"/>
              <w:rPr>
                <w:sz w:val="1"/>
                <w:szCs w:val="1"/>
                <w:color w:val="auto"/>
              </w:rPr>
            </w:pPr>
          </w:p>
        </w:tc>
      </w:tr>
      <w:tr>
        <w:trPr>
          <w:trHeight w:val="198"/>
        </w:trPr>
        <w:tc>
          <w:tcPr>
            <w:tcW w:w="2380" w:type="dxa"/>
            <w:vAlign w:val="bottom"/>
            <w:vMerge w:val="continue"/>
          </w:tcPr>
          <w:p>
            <w:pPr>
              <w:spacing w:after="0"/>
              <w:rPr>
                <w:sz w:val="17"/>
                <w:szCs w:val="17"/>
                <w:color w:val="auto"/>
              </w:rPr>
            </w:pPr>
          </w:p>
        </w:tc>
        <w:tc>
          <w:tcPr>
            <w:tcW w:w="5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Hong Kong Toll Free</w:t>
            </w: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800-963-976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United States Toll Free</w:t>
            </w: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+1-888-317-6003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Mainland China Toll Free</w:t>
            </w: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4001-206-115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International</w:t>
            </w: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+1-412-317-6061</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Participant Password:</w:t>
            </w:r>
          </w:p>
        </w:tc>
        <w:tc>
          <w:tcPr>
            <w:tcW w:w="5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3101709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telephone replay will be available starting approximately one hour after the end of the conference until September 4, 2024 at 1-877-344-7529 (US Toll Free) and 1-412-317-0088 (International Toll) with the access code 3826921.</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live and archived webcast of the conference call will be available at the Company’s investor relations website under the “News &amp; Events” section at http://ir.noahgroup.com.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NON-GAAP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disclosing financial results prepared in accordance with U.S. GAAP, the Company’s earnings release contains non-GAAP financial measures excluding the effects of all forms of share-based compensation, non-cash settlement expenses and net of tax impact, if any. See “Reconciliation of GAAP to Non-GAAP Results” at the end of this press release.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non-GAAP financial measures disclosed by the Company should not be considered a substitute for financial measures prepared in accordance with U.S. GAAP. The financial results reported in accordance with U.S. GAAP and reconciliation of GAAP to non-GAAP results should be carefully evaluated. The non-GAAP financial measures used by the Company may be prepared differently from and, therefore, may not be comparable to similarly titled measures used by other companies.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When evaluating the Company’s operating performance in the periods presented, management reviewed the foregoing non-GAAP net income attributable to Noah shareholders and per diluted ADS and non-GAAP net margin attributable to Noah shareholders to supplement U.S. GAAP financial data. As such, the Company’s management believes that the presentation of the non-GAAP financial measures provides important supplemental information to investors regarding financial and business trends relating to its results of operations in a manner consistent with that used by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NOAH HOLDINGS LIMITED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Noah Holdings Limited (NYSE: NOAH and HKEX: 6686) is a leading and pioneer wealth management service provider offering comprehensive one-stop advisory services on global investment and asset allocation primarily for mandarin-speaking high-net-worth investors. Noah's American depositary shares, or ADSs, are listed on the New York Stock Exchange under the symbol "NOAH", and its shares are listed on the main board of the Hong Kong Stock Exchange under the stock code "6686." One ADS represents five ordinary shares, par value $0.00005 per share.</w:t>
      </w:r>
    </w:p>
    <w:p>
      <w:pPr>
        <w:spacing w:after="0" w:line="18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the first half of 2024, Noah distributed RMB33.3 billion (US$4.6 billion) of investment products. As of June 30, 2024, through Gopher Asset Management, Noah managed assets totaling RMB154.0 billion (US$21.2 billion).</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Noah's wealth management business primarily distributes private equity, public securities and insurance products denominated in RMB and other currencies. Noah's network covers major cities in mainland China, as well as Hong Kong (China), New York, Silicon Valley, Singapore, and Los Angeles. The Company's wealth management business had 459,072 registered clients as of June 30, 2024. Through Gopher Asset Management, Noah manages private equity, public securities, real estate, multi-strategy and other investments denominated in RMB and other currencies. Noah also operates other businesses.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Noah at </w:t>
      </w:r>
      <w:r>
        <w:rPr>
          <w:rFonts w:ascii="Times New Roman" w:cs="Times New Roman" w:eastAsia="Times New Roman" w:hAnsi="Times New Roman"/>
          <w:sz w:val="18"/>
          <w:szCs w:val="18"/>
          <w:i w:val="1"/>
          <w:iCs w:val="1"/>
          <w:color w:val="auto"/>
        </w:rPr>
        <w:t>ir.noahgroup.com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this announcement, the unaudited financial results for the second quarter of 2024 ended June 30, 2024 are stated in RMB. This announcement contains currency conversions of certain RMB amounts into US$ at specified rates solely for the convenience of the reader. Unless otherwise noted, all translations from RMB to US$ are made at a rate of RMB7.2672 to US$1.00, the effective noon buying rate for June 28, 2024 as set forth in the H.10 statistical release of the Federal Reserve Board.</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Noah may also make written or oral forward-looking statements in its periodic reports to the U.S. Securities and Exchange Commission, in its annual report to shareholders,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These statements include, but are not limited to, estimates regarding the sufficiency of Noah’s cash and cash equivalents and liquidity risk. A number of factors could cause Noah’s actual results to differ materially from those contained in any forward-looking statement, including but not limited to the following: its goals and strategies; its future business development, financial condition and results of operations; the expected growth of the wealth management and asset management market in China and internationally; its expectations regarding demand for and market acceptance of the products it distributes; investment risks associated with investment products distributed to Noah’s investors, including the risk of default by counterparties or loss of value due to market or business conditions or misconduct by counterparties; its expectations regarding keeping and strengthening its relationships with key clients; relevant government policies and regulations relating to its industries; its ability to attract and retain qualified employees; its ability to stay abreast of market trends and technological advances; its plans to invest in research and development to enhance its product choices and service offerings; competition in its industries in China and internationally; general economic and business conditions in China; and its ability to effectively protect its intellectual property rights and not to infringe on the intellectual property rights of others. Further information regarding these and other risks is included in Noah's filings with the U.S. Securities and Exchange Commission and the Hong Kong Stock Exchange. All information provided in this press release and in the attachments is as of the date of this press release, and Noah does not undertake any obligation to update any such information, including forward-looking statements, as a result of new information, future events or otherwise, except as required under the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Melo Xi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+86-21-8035-8292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ir@noahgroup.com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FINANCIAL AND OPERATIONAL TABLES FOLLOW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As of</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80" w:type="dxa"/>
            <w:vAlign w:val="bottom"/>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1440" w:type="dxa"/>
            <w:vAlign w:val="bottom"/>
            <w:gridSpan w:val="2"/>
          </w:tcPr>
          <w:p>
            <w:pPr>
              <w:jc w:val="right"/>
              <w:ind w:right="52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24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p>
        </w:tc>
        <w:tc>
          <w:tcPr>
            <w:tcW w:w="39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5,129,437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4,604,946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633,662</w:t>
            </w:r>
          </w:p>
        </w:tc>
        <w:tc>
          <w:tcPr>
            <w:tcW w:w="0" w:type="dxa"/>
            <w:vAlign w:val="bottom"/>
          </w:tcPr>
          <w:p>
            <w:pPr>
              <w:spacing w:after="0"/>
              <w:rPr>
                <w:sz w:val="1"/>
                <w:szCs w:val="1"/>
                <w:color w:val="auto"/>
              </w:rPr>
            </w:pPr>
          </w:p>
        </w:tc>
      </w:tr>
      <w:tr>
        <w:trPr>
          <w:trHeight w:val="21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747,084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1,287,400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177,152</w:t>
            </w:r>
          </w:p>
        </w:tc>
        <w:tc>
          <w:tcPr>
            <w:tcW w:w="0" w:type="dxa"/>
            <w:vAlign w:val="bottom"/>
          </w:tcPr>
          <w:p>
            <w:pPr>
              <w:spacing w:after="0"/>
              <w:rPr>
                <w:sz w:val="1"/>
                <w:szCs w:val="1"/>
                <w:color w:val="auto"/>
              </w:rPr>
            </w:pPr>
          </w:p>
        </w:tc>
      </w:tr>
      <w:tr>
        <w:trPr>
          <w:trHeight w:val="21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435,114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429,417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59,090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508,236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444,937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61,225</w:t>
            </w:r>
          </w:p>
        </w:tc>
        <w:tc>
          <w:tcPr>
            <w:tcW w:w="0" w:type="dxa"/>
            <w:vAlign w:val="bottom"/>
          </w:tcPr>
          <w:p>
            <w:pPr>
              <w:spacing w:after="0"/>
              <w:rPr>
                <w:sz w:val="1"/>
                <w:szCs w:val="1"/>
                <w:color w:val="auto"/>
              </w:rPr>
            </w:pPr>
          </w:p>
        </w:tc>
      </w:tr>
      <w:tr>
        <w:trPr>
          <w:trHeight w:val="21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receivable, net</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222,516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28,501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226,332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31,145</w:t>
            </w:r>
          </w:p>
        </w:tc>
        <w:tc>
          <w:tcPr>
            <w:tcW w:w="0" w:type="dxa"/>
            <w:vAlign w:val="bottom"/>
          </w:tcPr>
          <w:p>
            <w:pPr>
              <w:spacing w:after="0"/>
              <w:rPr>
                <w:sz w:val="1"/>
                <w:szCs w:val="1"/>
                <w:color w:val="auto"/>
              </w:rPr>
            </w:pPr>
          </w:p>
        </w:tc>
      </w:tr>
      <w:tr>
        <w:trPr>
          <w:trHeight w:val="210"/>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7,223,307</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7,204,728</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 net</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803,598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742,322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102,147</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1,522,996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1,445,356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198,888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2,450,271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2,416,072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332,462</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125,475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102,301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427,680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400,401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55,097</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189,794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155,825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21,442</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12,743,121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73737"/>
              </w:rPr>
              <w:t>12,467,005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1,715,517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payroll and welfare expenses</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585,886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346,543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47,686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76,318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21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88,182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payable</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1,018,000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140,082</w:t>
            </w:r>
          </w:p>
        </w:tc>
        <w:tc>
          <w:tcPr>
            <w:tcW w:w="0" w:type="dxa"/>
            <w:vAlign w:val="bottom"/>
          </w:tcPr>
          <w:p>
            <w:pPr>
              <w:spacing w:after="0"/>
              <w:rPr>
                <w:sz w:val="1"/>
                <w:szCs w:val="1"/>
                <w:color w:val="auto"/>
              </w:rPr>
            </w:pPr>
          </w:p>
        </w:tc>
      </w:tr>
      <w:tr>
        <w:trPr>
          <w:trHeight w:val="216"/>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liabilities</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490,989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475,777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65,469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490,529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420,527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57,866</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1,754,584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2,411,022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331,768</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260,976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7,574</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2,111,459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2,736,654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10,631,662</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9,730,351</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1,338,941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12,743,121</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73737"/>
              </w:rPr>
              <w:t>12,467,005</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1,715,517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RMB'000, except for ADS data, per ADS data and percentages)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0" w:type="dxa"/>
            <w:vAlign w:val="bottom"/>
            <w:gridSpan w:val="3"/>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821"/>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gridSpan w:val="2"/>
          </w:tcPr>
          <w:p>
            <w:pPr>
              <w:ind w:left="30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500" w:type="dxa"/>
            <w:vAlign w:val="bottom"/>
            <w:gridSpan w:val="2"/>
          </w:tcPr>
          <w:p>
            <w:pPr>
              <w:ind w:left="30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480" w:type="dxa"/>
            <w:vAlign w:val="bottom"/>
            <w:gridSpan w:val="2"/>
          </w:tcPr>
          <w:p>
            <w:pPr>
              <w:jc w:val="right"/>
              <w:ind w:right="501"/>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1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RMB'000</w:t>
            </w:r>
          </w:p>
        </w:tc>
        <w:tc>
          <w:tcPr>
            <w:tcW w:w="280" w:type="dxa"/>
            <w:vAlign w:val="bottom"/>
          </w:tcPr>
          <w:p>
            <w:pPr>
              <w:spacing w:after="0"/>
              <w:rPr>
                <w:sz w:val="18"/>
                <w:szCs w:val="18"/>
                <w:color w:val="auto"/>
              </w:rPr>
            </w:pPr>
          </w:p>
        </w:tc>
        <w:tc>
          <w:tcPr>
            <w:tcW w:w="12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RMB'000</w:t>
            </w:r>
          </w:p>
        </w:tc>
        <w:tc>
          <w:tcPr>
            <w:tcW w:w="280" w:type="dxa"/>
            <w:vAlign w:val="bottom"/>
          </w:tcPr>
          <w:p>
            <w:pPr>
              <w:spacing w:after="0"/>
              <w:rPr>
                <w:sz w:val="18"/>
                <w:szCs w:val="18"/>
                <w:color w:val="auto"/>
              </w:rPr>
            </w:pPr>
          </w:p>
        </w:tc>
        <w:tc>
          <w:tcPr>
            <w:tcW w:w="12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USD'000</w:t>
            </w: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others:</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One-time commissions</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399,521</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127,894</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17,599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Recurring service fees</w:t>
            </w:r>
          </w:p>
        </w:tc>
        <w:tc>
          <w:tcPr>
            <w:tcW w:w="200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176,355</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151,469</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20,843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Performance-based income</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4,328</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4,515</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service fees</w:t>
            </w:r>
          </w:p>
        </w:tc>
        <w:tc>
          <w:tcPr>
            <w:tcW w:w="200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64,114</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49,950</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6,873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5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644,318</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333,828</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45,936</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One-time commissions</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5,982</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9,129</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1,256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Recurring service fees</w:t>
            </w:r>
          </w:p>
        </w:tc>
        <w:tc>
          <w:tcPr>
            <w:tcW w:w="200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271,033</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254,205</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34,980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Performance-based income</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23,635</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23,413</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3,222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funds Gopher manages</w:t>
            </w:r>
          </w:p>
        </w:tc>
        <w:tc>
          <w:tcPr>
            <w:tcW w:w="5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300,650</w:t>
            </w:r>
          </w:p>
        </w:tc>
        <w:tc>
          <w:tcPr>
            <w:tcW w:w="2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286,747</w:t>
            </w:r>
          </w:p>
        </w:tc>
        <w:tc>
          <w:tcPr>
            <w:tcW w:w="2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39,458</w:t>
            </w:r>
          </w:p>
        </w:tc>
        <w:tc>
          <w:tcPr>
            <w:tcW w:w="2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944,968</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620,575</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20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(3,211)</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(4,721)</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5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941,757</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615,854</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84,744</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Relationship managers</w:t>
            </w:r>
          </w:p>
        </w:tc>
        <w:tc>
          <w:tcPr>
            <w:tcW w:w="20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(180,304)</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(131,505)</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(18,096)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Others</w:t>
            </w:r>
          </w:p>
        </w:tc>
        <w:tc>
          <w:tcPr>
            <w:tcW w:w="5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(204,798)</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(165,505)</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(22,775)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50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(385,102)</w:t>
            </w:r>
          </w:p>
        </w:tc>
        <w:tc>
          <w:tcPr>
            <w:tcW w:w="2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(297,010)</w:t>
            </w:r>
          </w:p>
        </w:tc>
        <w:tc>
          <w:tcPr>
            <w:tcW w:w="2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(40,871)</w:t>
            </w:r>
          </w:p>
        </w:tc>
        <w:tc>
          <w:tcPr>
            <w:tcW w:w="260" w:type="dxa"/>
            <w:vAlign w:val="bottom"/>
            <w:vMerge w:val="continue"/>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20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(112,003)</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(61,890)</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(8,516)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(63,983)</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(79,902)</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20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331</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(37,078)</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(46,007)</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subsidies</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6,048</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2,639</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5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(592,338</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(481,839</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(66,304</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349,419</w:t>
            </w:r>
          </w:p>
        </w:tc>
        <w:tc>
          <w:tcPr>
            <w:tcW w:w="2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134,015</w:t>
            </w:r>
          </w:p>
        </w:tc>
        <w:tc>
          <w:tcPr>
            <w:tcW w:w="2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2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39,684</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42,587</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5,860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(loss) income</w:t>
            </w:r>
          </w:p>
        </w:tc>
        <w:tc>
          <w:tcPr>
            <w:tcW w:w="20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(3,976)</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10,400</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1,431</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reversal</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11,476</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1,579</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(expenses)</w:t>
            </w:r>
          </w:p>
        </w:tc>
        <w:tc>
          <w:tcPr>
            <w:tcW w:w="200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15,821</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(2,828)</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(389)</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5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51,529</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61,635</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and income from equity in affiliates</w:t>
            </w: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400,948</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195,650</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(90,213)</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(40,257)</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equity in affiliates</w:t>
            </w:r>
          </w:p>
        </w:tc>
        <w:tc>
          <w:tcPr>
            <w:tcW w:w="500" w:type="dxa"/>
            <w:vAlign w:val="bottom"/>
          </w:tcPr>
          <w:p>
            <w:pPr>
              <w:spacing w:after="0"/>
              <w:rPr>
                <w:sz w:val="19"/>
                <w:szCs w:val="19"/>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1,561</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(51,700)</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(7,114)</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312,296</w:t>
            </w:r>
          </w:p>
        </w:tc>
        <w:tc>
          <w:tcPr>
            <w:tcW w:w="2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103,693</w:t>
            </w:r>
          </w:p>
        </w:tc>
        <w:tc>
          <w:tcPr>
            <w:tcW w:w="2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2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0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(3,132)</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3,906</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537</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Noah shareholders</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per ADS, basic</w:t>
            </w:r>
          </w:p>
        </w:tc>
        <w:tc>
          <w:tcPr>
            <w:tcW w:w="50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4.54</w:t>
            </w:r>
          </w:p>
        </w:tc>
        <w:tc>
          <w:tcPr>
            <w:tcW w:w="28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28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60" w:type="dxa"/>
            <w:vAlign w:val="bottom"/>
            <w:vMerge w:val="continue"/>
          </w:tcPr>
          <w:p>
            <w:pPr>
              <w:spacing w:after="0"/>
              <w:rPr>
                <w:sz w:val="17"/>
                <w:szCs w:val="17"/>
                <w:color w:val="auto"/>
              </w:rPr>
            </w:pPr>
          </w:p>
        </w:tc>
        <w:tc>
          <w:tcPr>
            <w:tcW w:w="1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ADS, diluted</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4.54</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1.42</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 analysis:</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37.1%</w:t>
            </w:r>
          </w:p>
        </w:tc>
        <w:tc>
          <w:tcPr>
            <w:tcW w:w="15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21.8%</w:t>
            </w: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21.8%</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margin</w:t>
            </w:r>
          </w:p>
        </w:tc>
        <w:tc>
          <w:tcPr>
            <w:tcW w:w="20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33.2%</w:t>
            </w:r>
          </w:p>
        </w:tc>
        <w:tc>
          <w:tcPr>
            <w:tcW w:w="15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16.8%</w:t>
            </w: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16.8%</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Weighted average ADS equivalent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69,469,110</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70,229,503</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70,229,503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69,492,786</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70,429,388</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70,429,388</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ADS equivalent outstanding at end of period</w:t>
            </w:r>
          </w:p>
        </w:tc>
        <w:tc>
          <w:tcPr>
            <w:tcW w:w="2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63,137,912</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65,806,082</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65,806,082</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540" w:right="3140" w:hanging="5532"/>
        <w:spacing w:after="0" w:line="532"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all outstanding ordinary shares are represented by ADSs. Five ordinary share represents one ADSs.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RMB'000, except for USD data, per ADS data and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01"/>
              <w:spacing w:after="0"/>
              <w:rPr>
                <w:sz w:val="20"/>
                <w:szCs w:val="20"/>
                <w:color w:val="auto"/>
              </w:rPr>
            </w:pPr>
            <w:r>
              <w:rPr>
                <w:rFonts w:ascii="Times New Roman" w:cs="Times New Roman" w:eastAsia="Times New Roman" w:hAnsi="Times New Roman"/>
                <w:sz w:val="18"/>
                <w:szCs w:val="18"/>
                <w:color w:val="auto"/>
              </w:rPr>
              <w:t>Six months ended</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320" w:type="dxa"/>
            <w:vAlign w:val="bottom"/>
          </w:tcPr>
          <w:p>
            <w:pPr>
              <w:spacing w:after="0"/>
              <w:rPr>
                <w:sz w:val="17"/>
                <w:szCs w:val="17"/>
                <w:color w:val="auto"/>
              </w:rPr>
            </w:pPr>
          </w:p>
        </w:tc>
        <w:tc>
          <w:tcPr>
            <w:tcW w:w="1500" w:type="dxa"/>
            <w:vAlign w:val="bottom"/>
            <w:gridSpan w:val="2"/>
          </w:tcPr>
          <w:p>
            <w:pPr>
              <w:jc w:val="right"/>
              <w:ind w:right="521"/>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500" w:type="dxa"/>
            <w:vAlign w:val="bottom"/>
            <w:gridSpan w:val="2"/>
          </w:tcPr>
          <w:p>
            <w:pPr>
              <w:jc w:val="right"/>
              <w:ind w:right="521"/>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480" w:type="dxa"/>
            <w:vAlign w:val="bottom"/>
            <w:gridSpan w:val="2"/>
          </w:tcPr>
          <w:p>
            <w:pPr>
              <w:jc w:val="right"/>
              <w:ind w:right="501"/>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RMB'000</w:t>
            </w:r>
          </w:p>
        </w:tc>
        <w:tc>
          <w:tcPr>
            <w:tcW w:w="28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RMB'000</w:t>
            </w:r>
          </w:p>
        </w:tc>
        <w:tc>
          <w:tcPr>
            <w:tcW w:w="28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USD'000</w:t>
            </w: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others: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One-time commissions</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570,092</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313,149</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43,091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Recurring service fees</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369,063</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306,634</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42,194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Performance-based income</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7,758</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10,043</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1,382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service fees</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136,980</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84,910</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11,684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1,083,893</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714,736</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98,351</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One-time commissions</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11,878</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10,956</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1,508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Recurring service fees</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554,505</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516,894</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71,127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Performance-based income</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103,960</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32,257</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4,439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funds Gopher manages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670,343</w:t>
            </w:r>
          </w:p>
        </w:tc>
        <w:tc>
          <w:tcPr>
            <w:tcW w:w="2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560,107</w:t>
            </w:r>
          </w:p>
        </w:tc>
        <w:tc>
          <w:tcPr>
            <w:tcW w:w="2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77,074</w:t>
            </w:r>
          </w:p>
        </w:tc>
        <w:tc>
          <w:tcPr>
            <w:tcW w:w="2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1,754,236</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1,274,843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(9,006)</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(9,454)</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1,745,230</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1,265,389</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174,124</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Relationship managers</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(329,039)</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(275,800)</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(37,951)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(426,169)</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(409,995)</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(56,417)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(755,208)</w:t>
            </w:r>
          </w:p>
        </w:tc>
        <w:tc>
          <w:tcPr>
            <w:tcW w:w="2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(685,795)</w:t>
            </w:r>
          </w:p>
        </w:tc>
        <w:tc>
          <w:tcPr>
            <w:tcW w:w="2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(94,368)</w:t>
            </w:r>
          </w:p>
        </w:tc>
        <w:tc>
          <w:tcPr>
            <w:tcW w:w="260" w:type="dxa"/>
            <w:vAlign w:val="bottom"/>
            <w:vMerge w:val="continue"/>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expenses</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(208,672)</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(124,222)</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(17,094)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(109,683)</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(151,018)</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(20,781)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Reversal of credit losses</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5,478</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428</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(67,875)</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(63,153)</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(8,690)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 subsidies</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19,032</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13,872</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1,909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(1,116,928</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(1,009,888</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(138,965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628,302</w:t>
            </w:r>
          </w:p>
        </w:tc>
        <w:tc>
          <w:tcPr>
            <w:tcW w:w="2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255,501</w:t>
            </w:r>
          </w:p>
        </w:tc>
        <w:tc>
          <w:tcPr>
            <w:tcW w:w="2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2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74,072</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88,772</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12,215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(loss) income</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(17,559)</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15,585</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2,145</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reversal</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11,476</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1,579</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25,379</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1,107</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81,892</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116,940</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and income from equity in affiliates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710,194</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372,441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(159,793)</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(82,943)</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(11,413)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equity in affiliates</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5,230</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(53,942)</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(7,423)</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555,631</w:t>
            </w:r>
          </w:p>
        </w:tc>
        <w:tc>
          <w:tcPr>
            <w:tcW w:w="2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235,556</w:t>
            </w:r>
          </w:p>
        </w:tc>
        <w:tc>
          <w:tcPr>
            <w:tcW w:w="28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w:t>
            </w:r>
          </w:p>
        </w:tc>
        <w:tc>
          <w:tcPr>
            <w:tcW w:w="2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(4,007)</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4,278</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589</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Noah shareholders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559,638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231,278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per ADS, basic</w:t>
            </w: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8.06</w:t>
            </w:r>
          </w:p>
        </w:tc>
        <w:tc>
          <w:tcPr>
            <w:tcW w:w="28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3.30</w:t>
            </w:r>
          </w:p>
        </w:tc>
        <w:tc>
          <w:tcPr>
            <w:tcW w:w="28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260" w:type="dxa"/>
            <w:vAlign w:val="bottom"/>
            <w:vMerge w:val="continue"/>
          </w:tcPr>
          <w:p>
            <w:pPr>
              <w:spacing w:after="0"/>
              <w:rPr>
                <w:sz w:val="17"/>
                <w:szCs w:val="17"/>
                <w:color w:val="auto"/>
              </w:rPr>
            </w:pPr>
          </w:p>
        </w:tc>
        <w:tc>
          <w:tcPr>
            <w:tcW w:w="1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ADS, diluted</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8.05</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3.30</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0.45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 analysis: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5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36.0%</w:t>
            </w:r>
          </w:p>
        </w:tc>
        <w:tc>
          <w:tcPr>
            <w:tcW w:w="15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20.2%</w:t>
            </w: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20.2%</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margin</w:t>
            </w:r>
          </w:p>
        </w:tc>
        <w:tc>
          <w:tcPr>
            <w:tcW w:w="15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31.8%</w:t>
            </w:r>
          </w:p>
        </w:tc>
        <w:tc>
          <w:tcPr>
            <w:tcW w:w="15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18.6%</w:t>
            </w: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18.6%</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Weighted average ADS equivalent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69,468,036</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70,036,724</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70,036,724</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69,498,956</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70,163,305</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70,163,305</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ADS equivalent outstanding at end of period</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63,137,912</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65,806,082</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65,806,082</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540" w:right="3140" w:hanging="5532"/>
        <w:spacing w:after="0" w:line="532"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all outstanding ordinary shares are represented by ADSs. Five ordinary share represents one ADSs.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Comprehensive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ind w:left="30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122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5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RMB'000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8"/>
                <w:szCs w:val="18"/>
                <w:color w:val="auto"/>
              </w:rPr>
            </w:pPr>
          </w:p>
        </w:tc>
        <w:tc>
          <w:tcPr>
            <w:tcW w:w="12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USD'000</w:t>
            </w: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312,296</w:t>
            </w:r>
          </w:p>
        </w:tc>
        <w:tc>
          <w:tcPr>
            <w:tcW w:w="16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103,693</w:t>
            </w:r>
          </w:p>
        </w:tc>
        <w:tc>
          <w:tcPr>
            <w:tcW w:w="14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14,267</w:t>
            </w:r>
          </w:p>
        </w:tc>
        <w:tc>
          <w:tcPr>
            <w:tcW w:w="14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gridSpan w:val="2"/>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140,753</w:t>
            </w:r>
          </w:p>
        </w:tc>
        <w:tc>
          <w:tcPr>
            <w:tcW w:w="16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29,283</w:t>
            </w:r>
          </w:p>
        </w:tc>
        <w:tc>
          <w:tcPr>
            <w:tcW w:w="14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14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453,049</w:t>
            </w:r>
          </w:p>
        </w:tc>
        <w:tc>
          <w:tcPr>
            <w:tcW w:w="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132,976</w:t>
            </w:r>
          </w:p>
        </w:tc>
        <w:tc>
          <w:tcPr>
            <w:tcW w:w="220" w:type="dxa"/>
            <w:vAlign w:val="bottom"/>
            <w:vMerge w:val="continue"/>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18,296</w:t>
            </w:r>
          </w:p>
        </w:tc>
        <w:tc>
          <w:tcPr>
            <w:tcW w:w="220" w:type="dxa"/>
            <w:vAlign w:val="bottom"/>
            <w:vMerge w:val="continue"/>
          </w:tcPr>
          <w:p>
            <w:pPr>
              <w:spacing w:after="0"/>
              <w:rPr>
                <w:sz w:val="18"/>
                <w:szCs w:val="18"/>
                <w:color w:val="auto"/>
              </w:rPr>
            </w:pPr>
          </w:p>
        </w:tc>
        <w:tc>
          <w:tcPr>
            <w:tcW w:w="14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7"/>
              </w:rPr>
              <w:t>(70.6)%</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Comprehensive (loss) income attributable to non-controlling</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380" w:type="dxa"/>
            <w:vAlign w:val="bottom"/>
            <w:gridSpan w:val="2"/>
            <w:shd w:val="clear" w:color="auto" w:fill="CCEEFF"/>
          </w:tcPr>
          <w:p>
            <w:pPr>
              <w:spacing w:after="0"/>
              <w:rPr>
                <w:sz w:val="20"/>
                <w:szCs w:val="20"/>
                <w:color w:val="auto"/>
              </w:rPr>
            </w:pP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(3,269)</w:t>
            </w:r>
          </w:p>
        </w:tc>
        <w:tc>
          <w:tcPr>
            <w:tcW w:w="16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3,510</w:t>
            </w:r>
          </w:p>
        </w:tc>
        <w:tc>
          <w:tcPr>
            <w:tcW w:w="14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14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Noah shareholders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0" w:type="dxa"/>
            <w:vAlign w:val="bottom"/>
          </w:tcPr>
          <w:p>
            <w:pPr>
              <w:spacing w:after="0" w:line="20" w:lineRule="exact"/>
              <w:rPr>
                <w:sz w:val="1"/>
                <w:szCs w:val="1"/>
                <w:color w:val="auto"/>
              </w:rPr>
            </w:pPr>
          </w:p>
        </w:tc>
      </w:tr>
      <w:tr>
        <w:trPr>
          <w:trHeight w:val="250"/>
        </w:trPr>
        <w:tc>
          <w:tcPr>
            <w:tcW w:w="5060" w:type="dxa"/>
            <w:vAlign w:val="bottom"/>
            <w:vMerge w:val="continue"/>
          </w:tcPr>
          <w:p>
            <w:pPr>
              <w:spacing w:after="0"/>
              <w:rPr>
                <w:sz w:val="21"/>
                <w:szCs w:val="21"/>
                <w:color w:val="auto"/>
              </w:rPr>
            </w:pPr>
          </w:p>
        </w:tc>
        <w:tc>
          <w:tcPr>
            <w:tcW w:w="380" w:type="dxa"/>
            <w:vAlign w:val="bottom"/>
            <w:gridSpan w:val="2"/>
          </w:tcPr>
          <w:p>
            <w:pPr>
              <w:spacing w:after="0"/>
              <w:rPr>
                <w:sz w:val="21"/>
                <w:szCs w:val="21"/>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456,318</w:t>
            </w:r>
          </w:p>
        </w:tc>
        <w:tc>
          <w:tcPr>
            <w:tcW w:w="16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129,466</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17,813</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w w:val="95"/>
              </w:rPr>
              <w:t>(71.6</w:t>
            </w:r>
          </w:p>
        </w:tc>
        <w:tc>
          <w:tcPr>
            <w:tcW w:w="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740" w:type="dxa"/>
            <w:vAlign w:val="bottom"/>
            <w:gridSpan w:val="6"/>
          </w:tcPr>
          <w:p>
            <w:pPr>
              <w:jc w:val="center"/>
              <w:ind w:left="4410"/>
              <w:spacing w:after="0"/>
              <w:rPr>
                <w:sz w:val="20"/>
                <w:szCs w:val="20"/>
                <w:color w:val="auto"/>
              </w:rPr>
            </w:pPr>
            <w:r>
              <w:rPr>
                <w:rFonts w:ascii="Times New Roman" w:cs="Times New Roman" w:eastAsia="Times New Roman" w:hAnsi="Times New Roman"/>
                <w:sz w:val="18"/>
                <w:szCs w:val="18"/>
                <w:b w:val="1"/>
                <w:bCs w:val="1"/>
                <w:color w:val="auto"/>
                <w:w w:val="99"/>
              </w:rPr>
              <w:t>Noah Holdings Limited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gridSpan w:val="11"/>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Condensed Comprehensive Income Statements</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168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ind w:left="30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120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240" w:type="dxa"/>
            <w:vAlign w:val="bottom"/>
            <w:gridSpan w:val="2"/>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5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RMB'000</w:t>
            </w:r>
          </w:p>
        </w:tc>
        <w:tc>
          <w:tcPr>
            <w:tcW w:w="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240" w:type="dxa"/>
            <w:vAlign w:val="bottom"/>
            <w:gridSpan w:val="2"/>
          </w:tcPr>
          <w:p>
            <w:pPr>
              <w:spacing w:after="0"/>
              <w:rPr>
                <w:sz w:val="18"/>
                <w:szCs w:val="18"/>
                <w:color w:val="auto"/>
              </w:rPr>
            </w:pPr>
          </w:p>
        </w:tc>
        <w:tc>
          <w:tcPr>
            <w:tcW w:w="12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USD'000</w:t>
            </w:r>
          </w:p>
        </w:tc>
        <w:tc>
          <w:tcPr>
            <w:tcW w:w="240" w:type="dxa"/>
            <w:vAlign w:val="bottom"/>
            <w:gridSpan w:val="2"/>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555,631</w:t>
            </w: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235,556</w:t>
            </w:r>
          </w:p>
        </w:tc>
        <w:tc>
          <w:tcPr>
            <w:tcW w:w="2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32,414</w:t>
            </w:r>
          </w:p>
        </w:tc>
        <w:tc>
          <w:tcPr>
            <w:tcW w:w="220" w:type="dxa"/>
            <w:vAlign w:val="bottom"/>
            <w:tcBorders>
              <w:righ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82,683</w:t>
            </w:r>
          </w:p>
        </w:tc>
        <w:tc>
          <w:tcPr>
            <w:tcW w:w="2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11,378</w:t>
            </w:r>
          </w:p>
        </w:tc>
        <w:tc>
          <w:tcPr>
            <w:tcW w:w="220" w:type="dxa"/>
            <w:vAlign w:val="bottom"/>
            <w:tcBorders>
              <w:right w:val="single" w:sz="8" w:color="CCEEFF"/>
            </w:tcBorders>
            <w:shd w:val="clear" w:color="auto" w:fill="CCEEFF"/>
          </w:tcPr>
          <w:p>
            <w:pPr>
              <w:spacing w:after="0"/>
              <w:rPr>
                <w:sz w:val="18"/>
                <w:szCs w:val="18"/>
                <w:color w:val="auto"/>
              </w:rPr>
            </w:pPr>
          </w:p>
        </w:tc>
        <w:tc>
          <w:tcPr>
            <w:tcW w:w="14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(33.3)%.</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vMerge w:val="restart"/>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679,549</w:t>
            </w:r>
          </w:p>
        </w:tc>
        <w:tc>
          <w:tcPr>
            <w:tcW w:w="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318,239</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43,792</w:t>
            </w:r>
          </w:p>
        </w:tc>
        <w:tc>
          <w:tcPr>
            <w:tcW w:w="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(53.2)%</w:t>
            </w: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Comprehensive (loss) income attributable to non-controlling</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36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(4,189)</w:t>
            </w:r>
          </w:p>
        </w:tc>
        <w:tc>
          <w:tcPr>
            <w:tcW w:w="13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3,018</w:t>
            </w:r>
          </w:p>
        </w:tc>
        <w:tc>
          <w:tcPr>
            <w:tcW w:w="220" w:type="dxa"/>
            <w:vAlign w:val="bottom"/>
            <w:tcBorders>
              <w:right w:val="single" w:sz="8" w:color="CCEEFF"/>
            </w:tcBorders>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Borders>
              <w:right w:val="single" w:sz="8" w:color="CCEEFF"/>
            </w:tcBorders>
            <w:shd w:val="clear" w:color="auto" w:fill="CCEEFF"/>
          </w:tcPr>
          <w:p>
            <w:pPr>
              <w:spacing w:after="0"/>
              <w:rPr>
                <w:sz w:val="20"/>
                <w:szCs w:val="20"/>
                <w:color w:val="auto"/>
              </w:rPr>
            </w:pPr>
          </w:p>
        </w:tc>
        <w:tc>
          <w:tcPr>
            <w:tcW w:w="14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Noah shareholders</w:t>
            </w:r>
          </w:p>
        </w:tc>
        <w:tc>
          <w:tcPr>
            <w:tcW w:w="36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0" w:type="dxa"/>
            <w:vAlign w:val="bottom"/>
          </w:tcPr>
          <w:p>
            <w:pPr>
              <w:spacing w:after="0" w:line="20" w:lineRule="exact"/>
              <w:rPr>
                <w:sz w:val="1"/>
                <w:szCs w:val="1"/>
                <w:color w:val="auto"/>
              </w:rPr>
            </w:pPr>
          </w:p>
        </w:tc>
      </w:tr>
      <w:tr>
        <w:trPr>
          <w:trHeight w:val="250"/>
        </w:trPr>
        <w:tc>
          <w:tcPr>
            <w:tcW w:w="50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683,738</w:t>
            </w:r>
          </w:p>
        </w:tc>
        <w:tc>
          <w:tcPr>
            <w:tcW w:w="80" w:type="dxa"/>
            <w:vAlign w:val="bottom"/>
          </w:tcPr>
          <w:p>
            <w:pPr>
              <w:spacing w:after="0"/>
              <w:rPr>
                <w:sz w:val="21"/>
                <w:szCs w:val="21"/>
                <w:color w:val="auto"/>
              </w:rPr>
            </w:pP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315,221</w:t>
            </w:r>
          </w:p>
        </w:tc>
        <w:tc>
          <w:tcPr>
            <w:tcW w:w="22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43,377</w:t>
            </w:r>
          </w:p>
        </w:tc>
        <w:tc>
          <w:tcPr>
            <w:tcW w:w="220" w:type="dxa"/>
            <w:vAlign w:val="bottom"/>
          </w:tcPr>
          <w:p>
            <w:pPr>
              <w:spacing w:after="0"/>
              <w:rPr>
                <w:sz w:val="21"/>
                <w:szCs w:val="21"/>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w w:val="95"/>
              </w:rPr>
              <w:t>(53.9</w:t>
            </w:r>
          </w:p>
        </w:tc>
        <w:tc>
          <w:tcPr>
            <w:tcW w:w="2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9"/>
              </w:rPr>
              <w:t>14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17" w:name="page18"/>
    <w:bookmarkEnd w:id="17"/>
    <w:p>
      <w:pPr>
        <w:ind w:left="472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38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As of</w:t>
            </w:r>
          </w:p>
        </w:tc>
        <w:tc>
          <w:tcPr>
            <w:tcW w:w="1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2380" w:type="dxa"/>
            <w:vAlign w:val="bottom"/>
            <w:gridSpan w:val="3"/>
          </w:tcPr>
          <w:p>
            <w:pPr>
              <w:ind w:left="68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460" w:type="dxa"/>
            <w:vAlign w:val="bottom"/>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registered clients</w:t>
            </w:r>
          </w:p>
        </w:tc>
        <w:tc>
          <w:tcPr>
            <w:tcW w:w="18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446,557</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459,072</w:t>
            </w:r>
          </w:p>
        </w:tc>
        <w:tc>
          <w:tcPr>
            <w:tcW w:w="220" w:type="dxa"/>
            <w:vAlign w:val="bottom"/>
            <w:tcBorders>
              <w:right w:val="single" w:sz="8" w:color="CCEEFF"/>
            </w:tcBorders>
            <w:shd w:val="clear" w:color="auto" w:fill="CCEEFF"/>
          </w:tcPr>
          <w:p>
            <w:pPr>
              <w:spacing w:after="0"/>
              <w:rPr>
                <w:sz w:val="18"/>
                <w:szCs w:val="18"/>
                <w:color w:val="auto"/>
              </w:rPr>
            </w:pPr>
          </w:p>
        </w:tc>
        <w:tc>
          <w:tcPr>
            <w:tcW w:w="1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4"/>
                <w:szCs w:val="24"/>
                <w:color w:val="auto"/>
              </w:rPr>
            </w:pPr>
          </w:p>
        </w:tc>
        <w:tc>
          <w:tcPr>
            <w:tcW w:w="406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Three months ended</w:t>
            </w: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40" w:type="dxa"/>
            <w:vAlign w:val="bottom"/>
          </w:tcPr>
          <w:p>
            <w:pPr>
              <w:spacing w:after="0"/>
              <w:rPr>
                <w:sz w:val="17"/>
                <w:szCs w:val="17"/>
                <w:color w:val="auto"/>
              </w:rPr>
            </w:pPr>
          </w:p>
        </w:tc>
        <w:tc>
          <w:tcPr>
            <w:tcW w:w="2380" w:type="dxa"/>
            <w:vAlign w:val="bottom"/>
            <w:tcBorders>
              <w:top w:val="single" w:sz="8" w:color="auto"/>
            </w:tcBorders>
            <w:gridSpan w:val="3"/>
          </w:tcPr>
          <w:p>
            <w:pPr>
              <w:ind w:left="58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460" w:type="dxa"/>
            <w:vAlign w:val="bottom"/>
            <w:tcBorders>
              <w:top w:val="single" w:sz="8" w:color="auto"/>
            </w:tcBorders>
          </w:tcPr>
          <w:p>
            <w:pPr>
              <w:jc w:val="center"/>
              <w:ind w:right="370"/>
              <w:spacing w:after="0" w:line="205" w:lineRule="exact"/>
              <w:rPr>
                <w:sz w:val="20"/>
                <w:szCs w:val="20"/>
                <w:color w:val="auto"/>
              </w:rPr>
            </w:pPr>
            <w:r>
              <w:rPr>
                <w:rFonts w:ascii="Times New Roman" w:cs="Times New Roman" w:eastAsia="Times New Roman" w:hAnsi="Times New Roman"/>
                <w:sz w:val="18"/>
                <w:szCs w:val="18"/>
                <w:color w:val="auto"/>
                <w:w w:val="99"/>
              </w:rPr>
              <w:t>June 30,</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1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7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57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(in millions of RMB, except number of active clients and percentages)</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active clients</w:t>
            </w:r>
          </w:p>
        </w:tc>
        <w:tc>
          <w:tcPr>
            <w:tcW w:w="18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220" w:type="dxa"/>
            <w:vAlign w:val="bottom"/>
            <w:tcBorders>
              <w:right w:val="single" w:sz="8" w:color="CCEEFF"/>
            </w:tcBorders>
            <w:shd w:val="clear" w:color="auto" w:fill="CCEEFF"/>
          </w:tcPr>
          <w:p>
            <w:pPr>
              <w:spacing w:after="0"/>
              <w:rPr>
                <w:sz w:val="18"/>
                <w:szCs w:val="18"/>
                <w:color w:val="auto"/>
              </w:rPr>
            </w:pP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value: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equity products</w:t>
            </w:r>
          </w:p>
        </w:tc>
        <w:tc>
          <w:tcPr>
            <w:tcW w:w="18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20" w:type="dxa"/>
            <w:vAlign w:val="bottom"/>
            <w:tcBorders>
              <w:right w:val="single" w:sz="8" w:color="CCEEFF"/>
            </w:tcBorders>
            <w:shd w:val="clear" w:color="auto" w:fill="CCEEFF"/>
          </w:tcPr>
          <w:p>
            <w:pPr>
              <w:spacing w:after="0"/>
              <w:rPr>
                <w:sz w:val="18"/>
                <w:szCs w:val="18"/>
                <w:color w:val="auto"/>
              </w:rPr>
            </w:pPr>
          </w:p>
        </w:tc>
        <w:tc>
          <w:tcPr>
            <w:tcW w:w="1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secondary products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Mutual fund products</w:t>
            </w:r>
          </w:p>
        </w:tc>
        <w:tc>
          <w:tcPr>
            <w:tcW w:w="18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220" w:type="dxa"/>
            <w:vAlign w:val="bottom"/>
            <w:tcBorders>
              <w:right w:val="single" w:sz="8" w:color="CCEEFF"/>
            </w:tcBorders>
            <w:shd w:val="clear" w:color="auto" w:fill="CCEEFF"/>
          </w:tcPr>
          <w:p>
            <w:pPr>
              <w:spacing w:after="0"/>
              <w:rPr>
                <w:sz w:val="18"/>
                <w:szCs w:val="18"/>
                <w:color w:val="auto"/>
              </w:rPr>
            </w:pP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products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transaction value</w:t>
            </w:r>
          </w:p>
        </w:tc>
        <w:tc>
          <w:tcPr>
            <w:tcW w:w="18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vMerge w:val="continue"/>
            <w:shd w:val="clear" w:color="auto" w:fill="CCEEFF"/>
          </w:tcPr>
          <w:p>
            <w:pPr>
              <w:spacing w:after="0"/>
              <w:rPr>
                <w:sz w:val="18"/>
                <w:szCs w:val="18"/>
                <w:color w:val="auto"/>
              </w:rPr>
            </w:pPr>
          </w:p>
        </w:tc>
        <w:tc>
          <w:tcPr>
            <w:tcW w:w="18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w:t>
            </w:r>
          </w:p>
        </w:tc>
        <w:tc>
          <w:tcPr>
            <w:tcW w:w="220" w:type="dxa"/>
            <w:vAlign w:val="bottom"/>
            <w:tcBorders>
              <w:right w:val="single" w:sz="8" w:color="CCEEFF"/>
            </w:tcBorders>
            <w:shd w:val="clear" w:color="auto" w:fill="CCEEFF"/>
          </w:tcPr>
          <w:p>
            <w:pPr>
              <w:spacing w:after="0"/>
              <w:rPr>
                <w:sz w:val="18"/>
                <w:szCs w:val="18"/>
                <w:color w:val="auto"/>
              </w:rPr>
            </w:pP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648"/>
        </w:trPr>
        <w:tc>
          <w:tcPr>
            <w:tcW w:w="5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Segment Condensed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520" w:type="dxa"/>
            <w:vAlign w:val="bottom"/>
          </w:tcPr>
          <w:p>
            <w:pPr>
              <w:spacing w:after="0"/>
              <w:rPr>
                <w:sz w:val="16"/>
                <w:szCs w:val="16"/>
                <w:color w:val="auto"/>
              </w:rPr>
            </w:pPr>
          </w:p>
        </w:tc>
        <w:tc>
          <w:tcPr>
            <w:tcW w:w="1500" w:type="dxa"/>
            <w:vAlign w:val="bottom"/>
            <w:gridSpan w:val="2"/>
          </w:tcPr>
          <w:p>
            <w:pPr>
              <w:jc w:val="right"/>
              <w:ind w:right="561"/>
              <w:spacing w:after="0" w:line="191" w:lineRule="exact"/>
              <w:rPr>
                <w:sz w:val="20"/>
                <w:szCs w:val="20"/>
                <w:color w:val="auto"/>
              </w:rPr>
            </w:pPr>
            <w:r>
              <w:rPr>
                <w:rFonts w:ascii="Times New Roman" w:cs="Times New Roman" w:eastAsia="Times New Roman" w:hAnsi="Times New Roman"/>
                <w:sz w:val="18"/>
                <w:szCs w:val="18"/>
                <w:color w:val="auto"/>
              </w:rPr>
              <w:t>Wealth</w:t>
            </w:r>
          </w:p>
        </w:tc>
        <w:tc>
          <w:tcPr>
            <w:tcW w:w="1440" w:type="dxa"/>
            <w:vAlign w:val="bottom"/>
            <w:gridSpan w:val="2"/>
          </w:tcPr>
          <w:p>
            <w:pPr>
              <w:jc w:val="right"/>
              <w:ind w:right="581"/>
              <w:spacing w:after="0" w:line="191" w:lineRule="exact"/>
              <w:rPr>
                <w:sz w:val="20"/>
                <w:szCs w:val="20"/>
                <w:color w:val="auto"/>
              </w:rPr>
            </w:pPr>
            <w:r>
              <w:rPr>
                <w:rFonts w:ascii="Times New Roman" w:cs="Times New Roman" w:eastAsia="Times New Roman" w:hAnsi="Times New Roman"/>
                <w:sz w:val="18"/>
                <w:szCs w:val="18"/>
                <w:color w:val="auto"/>
              </w:rPr>
              <w:t>Asset</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Management</w:t>
            </w:r>
          </w:p>
        </w:tc>
        <w:tc>
          <w:tcPr>
            <w:tcW w:w="14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Management</w:t>
            </w:r>
          </w:p>
        </w:tc>
        <w:tc>
          <w:tcPr>
            <w:tcW w:w="14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15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Business</w:t>
            </w:r>
          </w:p>
        </w:tc>
        <w:tc>
          <w:tcPr>
            <w:tcW w:w="14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Business</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Businesses</w:t>
            </w:r>
          </w:p>
        </w:tc>
        <w:tc>
          <w:tcPr>
            <w:tcW w:w="13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Revenues from others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One-time commissions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127,894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127,894</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Recurring service fees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151,469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151,469</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Performance-based income</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4,515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4,515</w:t>
            </w:r>
          </w:p>
        </w:tc>
      </w:tr>
      <w:tr>
        <w:trPr>
          <w:trHeight w:val="230"/>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service fees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39,382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10,568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49,950</w:t>
            </w:r>
          </w:p>
        </w:tc>
      </w:tr>
      <w:tr>
        <w:trPr>
          <w:trHeight w:val="209"/>
        </w:trPr>
        <w:tc>
          <w:tcPr>
            <w:tcW w:w="5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323,260</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One-time commissions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9,119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9,129</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Recurring service fees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85,165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169,040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254,205</w:t>
            </w:r>
          </w:p>
        </w:tc>
      </w:tr>
      <w:tr>
        <w:trPr>
          <w:trHeight w:val="229"/>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Performance-based income</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23,413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23,413</w:t>
            </w:r>
          </w:p>
        </w:tc>
      </w:tr>
      <w:tr>
        <w:trPr>
          <w:trHeight w:val="210"/>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revenues from funds Gopher manages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94,284</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286,747</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417,544</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620,575</w:t>
            </w: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(1,918)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415,626</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192,301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Relationship managers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(124,857)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(6,648)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(131,505)</w:t>
            </w:r>
          </w:p>
        </w:tc>
      </w:tr>
      <w:tr>
        <w:trPr>
          <w:trHeight w:val="230"/>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(114,162)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(48,285)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(3,058)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(165,505)</w:t>
            </w:r>
          </w:p>
        </w:tc>
      </w:tr>
      <w:tr>
        <w:trPr>
          <w:trHeight w:val="21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(239,019)</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(297,010)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(43,303)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(12,411)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(6,176)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(53,575)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(16,356)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(9,971)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(79,902)</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credit losses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(16,517)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(22,487)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(46,007)</w:t>
            </w: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subsidies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2,221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2,639</w:t>
            </w: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(350,133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(481,839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65,493</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86,535</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134,015</w:t>
            </w:r>
          </w:p>
        </w:tc>
        <w:tc>
          <w:tcPr>
            <w:tcW w:w="100" w:type="dxa"/>
            <w:vAlign w:val="bottom"/>
            <w:shd w:val="clear" w:color="auto" w:fill="CCEEFF"/>
          </w:tcPr>
          <w:p>
            <w:pPr>
              <w:spacing w:after="0"/>
              <w:rPr>
                <w:sz w:val="18"/>
                <w:szCs w:val="18"/>
                <w:color w:val="auto"/>
              </w:rPr>
            </w:pPr>
          </w:p>
        </w:tc>
      </w:tr>
      <w:tr>
        <w:trPr>
          <w:trHeight w:val="642"/>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99"/>
              </w:rPr>
              <w:t>16</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Segment Condensed Income Statements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18"/>
                <w:szCs w:val="18"/>
                <w:color w:val="auto"/>
              </w:rPr>
              <w:t>Three months ended June 30, 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520" w:type="dxa"/>
            <w:vAlign w:val="bottom"/>
          </w:tcPr>
          <w:p>
            <w:pPr>
              <w:spacing w:after="0"/>
              <w:rPr>
                <w:sz w:val="16"/>
                <w:szCs w:val="16"/>
                <w:color w:val="auto"/>
              </w:rPr>
            </w:pPr>
          </w:p>
        </w:tc>
        <w:tc>
          <w:tcPr>
            <w:tcW w:w="1500" w:type="dxa"/>
            <w:vAlign w:val="bottom"/>
            <w:gridSpan w:val="2"/>
          </w:tcPr>
          <w:p>
            <w:pPr>
              <w:jc w:val="right"/>
              <w:ind w:right="561"/>
              <w:spacing w:after="0" w:line="191" w:lineRule="exact"/>
              <w:rPr>
                <w:sz w:val="20"/>
                <w:szCs w:val="20"/>
                <w:color w:val="auto"/>
              </w:rPr>
            </w:pPr>
            <w:r>
              <w:rPr>
                <w:rFonts w:ascii="Times New Roman" w:cs="Times New Roman" w:eastAsia="Times New Roman" w:hAnsi="Times New Roman"/>
                <w:sz w:val="18"/>
                <w:szCs w:val="18"/>
                <w:color w:val="auto"/>
              </w:rPr>
              <w:t>Wealth</w:t>
            </w:r>
          </w:p>
        </w:tc>
        <w:tc>
          <w:tcPr>
            <w:tcW w:w="1440" w:type="dxa"/>
            <w:vAlign w:val="bottom"/>
            <w:gridSpan w:val="2"/>
          </w:tcPr>
          <w:p>
            <w:pPr>
              <w:jc w:val="right"/>
              <w:ind w:right="581"/>
              <w:spacing w:after="0" w:line="191" w:lineRule="exact"/>
              <w:rPr>
                <w:sz w:val="20"/>
                <w:szCs w:val="20"/>
                <w:color w:val="auto"/>
              </w:rPr>
            </w:pPr>
            <w:r>
              <w:rPr>
                <w:rFonts w:ascii="Times New Roman" w:cs="Times New Roman" w:eastAsia="Times New Roman" w:hAnsi="Times New Roman"/>
                <w:sz w:val="18"/>
                <w:szCs w:val="18"/>
                <w:color w:val="auto"/>
              </w:rPr>
              <w:t>Asset</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Management</w:t>
            </w:r>
          </w:p>
        </w:tc>
        <w:tc>
          <w:tcPr>
            <w:tcW w:w="14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Management</w:t>
            </w:r>
          </w:p>
        </w:tc>
        <w:tc>
          <w:tcPr>
            <w:tcW w:w="14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15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Business</w:t>
            </w:r>
          </w:p>
        </w:tc>
        <w:tc>
          <w:tcPr>
            <w:tcW w:w="14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Business</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Businesses</w:t>
            </w:r>
          </w:p>
        </w:tc>
        <w:tc>
          <w:tcPr>
            <w:tcW w:w="13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Revenues from others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One-time commissions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399,521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399,521</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Recurring service fees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176,355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176,355</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Performance-based income</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4,328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4,328</w:t>
            </w:r>
          </w:p>
        </w:tc>
      </w:tr>
      <w:tr>
        <w:trPr>
          <w:trHeight w:val="229"/>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service fees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50,878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13,236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64,114</w:t>
            </w:r>
          </w:p>
        </w:tc>
      </w:tr>
      <w:tr>
        <w:trPr>
          <w:trHeight w:val="209"/>
        </w:trPr>
        <w:tc>
          <w:tcPr>
            <w:tcW w:w="5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from others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631,082</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 from funds Gopher manages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One-time commissions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5,920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5,982</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Recurring service fees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93,914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177,119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271,033</w:t>
            </w:r>
          </w:p>
        </w:tc>
      </w:tr>
      <w:tr>
        <w:trPr>
          <w:trHeight w:val="229"/>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Performance-based income</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17,115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6,520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23,635</w:t>
            </w:r>
          </w:p>
        </w:tc>
      </w:tr>
      <w:tr>
        <w:trPr>
          <w:trHeight w:val="210"/>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revenues from funds Gopher manages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116,949</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300,650</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748,031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944,968</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VAT related surcharges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(2,755)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745,276</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183,389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Relationship managers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(175,446)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(4,858)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(180,304)</w:t>
            </w:r>
          </w:p>
        </w:tc>
      </w:tr>
      <w:tr>
        <w:trPr>
          <w:trHeight w:val="230"/>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(133,409)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(63,949)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(7,440)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(204,798)</w:t>
            </w:r>
          </w:p>
        </w:tc>
      </w:tr>
      <w:tr>
        <w:trPr>
          <w:trHeight w:val="21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(308,855)</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(68,807)</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(385,102)</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(84,883)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(20,839)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(6,281)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(47,431)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(11,721)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(4,831)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(63,983)</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reversal of credit losses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(294)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(9,637)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(26,211)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(37,078)</w:t>
            </w: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subsidies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6,002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6,048</w:t>
            </w: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(445,098</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(102,477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(592,338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300,178</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80,912</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349,419</w:t>
            </w:r>
          </w:p>
        </w:tc>
        <w:tc>
          <w:tcPr>
            <w:tcW w:w="100" w:type="dxa"/>
            <w:vAlign w:val="bottom"/>
            <w:shd w:val="clear" w:color="auto" w:fill="CCEEFF"/>
          </w:tcPr>
          <w:p>
            <w:pPr>
              <w:spacing w:after="0"/>
              <w:rPr>
                <w:sz w:val="18"/>
                <w:szCs w:val="18"/>
                <w:color w:val="auto"/>
              </w:rPr>
            </w:pPr>
          </w:p>
        </w:tc>
      </w:tr>
      <w:tr>
        <w:trPr>
          <w:trHeight w:val="641"/>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99"/>
              </w:rPr>
              <w:t>17</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Mainland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Overseas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Mainland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Overseas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 w:lineRule="exact"/>
        <w:rPr>
          <w:sz w:val="20"/>
          <w:szCs w:val="20"/>
          <w:color w:val="auto"/>
        </w:rPr>
      </w:pPr>
      <w:r>
        <w:rPr>
          <w:sz w:val="20"/>
          <w:szCs w:val="20"/>
          <w:color w:val="auto"/>
        </w:rPr>
        <w:br w:type="column"/>
      </w:r>
    </w:p>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8"/>
          <w:szCs w:val="18"/>
          <w:b w:val="1"/>
          <w:bCs w:val="1"/>
          <w:color w:val="auto"/>
        </w:rPr>
        <w:t>Supplement Revenue Information by Geography</w:t>
      </w:r>
    </w:p>
    <w:p>
      <w:pPr>
        <w:spacing w:after="0" w:line="9"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Three months ended June 30, 2024</w:t>
      </w:r>
    </w:p>
    <w:p>
      <w:pPr>
        <w:spacing w:after="0" w:line="27"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1500" w:type="dxa"/>
            <w:vAlign w:val="bottom"/>
            <w:tcBorders>
              <w:top w:val="single" w:sz="8" w:color="auto"/>
            </w:tcBorders>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6"/>
              </w:rPr>
              <w:t>Wealth</w:t>
            </w:r>
          </w:p>
        </w:tc>
        <w:tc>
          <w:tcPr>
            <w:tcW w:w="1440" w:type="dxa"/>
            <w:vAlign w:val="bottom"/>
            <w:tcBorders>
              <w:top w:val="single" w:sz="8" w:color="auto"/>
            </w:tcBorders>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Asset</w:t>
            </w: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Management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Management</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Business</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Business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Businesses</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r>
      <w:tr>
        <w:trPr>
          <w:trHeight w:val="228"/>
        </w:trPr>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20" w:type="dxa"/>
            <w:vAlign w:val="bottom"/>
          </w:tcPr>
          <w:p>
            <w:pPr>
              <w:spacing w:after="0"/>
              <w:rPr>
                <w:sz w:val="19"/>
                <w:szCs w:val="19"/>
                <w:color w:val="auto"/>
              </w:rPr>
            </w:pPr>
          </w:p>
        </w:tc>
      </w:tr>
      <w:tr>
        <w:trPr>
          <w:trHeight w:val="40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218,785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341,949</w:t>
            </w:r>
          </w:p>
        </w:tc>
      </w:tr>
      <w:tr>
        <w:trPr>
          <w:trHeight w:val="234"/>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198,759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278,626</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417,544</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192,463</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620,575</w:t>
            </w:r>
          </w:p>
        </w:tc>
        <w:tc>
          <w:tcPr>
            <w:tcW w:w="20" w:type="dxa"/>
            <w:vAlign w:val="bottom"/>
            <w:tcBorders>
              <w:top w:val="single" w:sz="8" w:color="auto"/>
            </w:tcBorders>
          </w:tcPr>
          <w:p>
            <w:pPr>
              <w:spacing w:after="0"/>
              <w:rPr>
                <w:sz w:val="18"/>
                <w:szCs w:val="18"/>
                <w:color w:val="auto"/>
              </w:rPr>
            </w:pPr>
          </w:p>
        </w:tc>
      </w:tr>
      <w:tr>
        <w:trPr>
          <w:trHeight w:val="426"/>
        </w:trPr>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Three months ended June 30, 2023</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150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6"/>
              </w:rPr>
              <w:t>Wealth</w:t>
            </w:r>
          </w:p>
        </w:tc>
        <w:tc>
          <w:tcPr>
            <w:tcW w:w="144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Asset</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Management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Management</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Business</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Business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Businesses</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r>
      <w:tr>
        <w:trPr>
          <w:trHeight w:val="228"/>
        </w:trPr>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240" w:type="dxa"/>
            <w:vAlign w:val="bottom"/>
          </w:tcPr>
          <w:p>
            <w:pPr>
              <w:spacing w:after="0"/>
              <w:rPr>
                <w:sz w:val="19"/>
                <w:szCs w:val="19"/>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RMB'000</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RMB'000</w:t>
            </w:r>
          </w:p>
        </w:tc>
        <w:tc>
          <w:tcPr>
            <w:tcW w:w="20" w:type="dxa"/>
            <w:vAlign w:val="bottom"/>
          </w:tcPr>
          <w:p>
            <w:pPr>
              <w:spacing w:after="0"/>
              <w:rPr>
                <w:sz w:val="19"/>
                <w:szCs w:val="19"/>
                <w:color w:val="auto"/>
              </w:rPr>
            </w:pPr>
          </w:p>
        </w:tc>
      </w:tr>
      <w:tr>
        <w:trPr>
          <w:trHeight w:val="409"/>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419,220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118,972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551,428</w:t>
            </w:r>
          </w:p>
        </w:tc>
      </w:tr>
      <w:tr>
        <w:trPr>
          <w:trHeight w:val="234"/>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328,811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393,540</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748,031</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183,701</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-1988185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-1713865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-573405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-299720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020" w:space="720"/>
            <w:col w:w="7400"/>
          </w:cols>
          <w:pgMar w:left="320" w:top="900" w:right="4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Revenue Information by Product Types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332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Three months ended</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1660" w:type="dxa"/>
            <w:vAlign w:val="bottom"/>
            <w:tcBorders>
              <w:top w:val="single" w:sz="8" w:color="auto"/>
            </w:tcBorders>
            <w:gridSpan w:val="2"/>
          </w:tcPr>
          <w:p>
            <w:pPr>
              <w:ind w:left="420"/>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1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47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(in thousands of RMB, except percentages)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Mainland China:</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securities products [1]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148,702</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117,740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equity products</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209,505</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198,208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products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171,543</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551,428</w:t>
            </w:r>
          </w:p>
        </w:tc>
        <w:tc>
          <w:tcPr>
            <w:tcW w:w="22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341,949</w:t>
            </w:r>
          </w:p>
        </w:tc>
        <w:tc>
          <w:tcPr>
            <w:tcW w:w="220" w:type="dxa"/>
            <w:vAlign w:val="bottom"/>
            <w:vMerge w:val="continue"/>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Overseas: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products [2]</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136,381</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136,519</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products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212,226</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100,582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Online business [3]</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2,251</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7,246</w:t>
            </w:r>
          </w:p>
        </w:tc>
        <w:tc>
          <w:tcPr>
            <w:tcW w:w="1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42,682</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393,540</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278,626</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944,968</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620,575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hanging="258"/>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mutual funds and private secondary products.</w:t>
      </w:r>
    </w:p>
    <w:p>
      <w:pPr>
        <w:spacing w:after="0" w:line="27" w:lineRule="exact"/>
        <w:rPr>
          <w:rFonts w:ascii="Times New Roman" w:cs="Times New Roman" w:eastAsia="Times New Roman" w:hAnsi="Times New Roman"/>
          <w:sz w:val="18"/>
          <w:szCs w:val="18"/>
          <w:color w:val="auto"/>
        </w:rPr>
      </w:pPr>
    </w:p>
    <w:p>
      <w:pPr>
        <w:ind w:left="200" w:right="240" w:firstLine="2"/>
        <w:spacing w:after="0" w:line="250"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non-money market mutual fund products, discretionary products, private secondary products, private equity products, real estate products and private credit products.</w:t>
      </w:r>
    </w:p>
    <w:p>
      <w:pPr>
        <w:ind w:left="460" w:hanging="258"/>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money market mutual fund products, securities brokerage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Information of Overseas Business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2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color w:val="auto"/>
              </w:rPr>
              <w:t>Three months ended</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5"/>
        </w:trPr>
        <w:tc>
          <w:tcPr>
            <w:tcW w:w="5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Borders>
              <w:top w:val="single" w:sz="8" w:color="auto"/>
            </w:tcBorders>
            <w:gridSpan w:val="2"/>
          </w:tcPr>
          <w:p>
            <w:pPr>
              <w:jc w:val="right"/>
              <w:ind w:right="64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440" w:type="dxa"/>
            <w:vAlign w:val="bottom"/>
            <w:tcBorders>
              <w:top w:val="single" w:sz="8" w:color="auto"/>
            </w:tcBorders>
          </w:tcPr>
          <w:p>
            <w:pPr>
              <w:jc w:val="right"/>
              <w:ind w:right="35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Borders>
              <w:bottom w:val="single" w:sz="8" w:color="CCEEFF"/>
            </w:tcBorders>
          </w:tcPr>
          <w:p>
            <w:pPr>
              <w:spacing w:after="0"/>
              <w:rPr>
                <w:sz w:val="20"/>
                <w:szCs w:val="20"/>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Overseas (RMB, million)</w:t>
            </w:r>
          </w:p>
        </w:tc>
        <w:tc>
          <w:tcPr>
            <w:tcW w:w="10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Number of Overseas Registered Clients</w:t>
            </w:r>
          </w:p>
        </w:tc>
        <w:tc>
          <w:tcPr>
            <w:tcW w:w="2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13,650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16,786</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Overseas Active Clients</w:t>
            </w:r>
          </w:p>
        </w:tc>
        <w:tc>
          <w:tcPr>
            <w:tcW w:w="2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3,244</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Value of Overseas Investment Products (RMB, billion)</w:t>
            </w:r>
          </w:p>
        </w:tc>
        <w:tc>
          <w:tcPr>
            <w:tcW w:w="2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Overseas Relationship Managers</w:t>
            </w:r>
          </w:p>
        </w:tc>
        <w:tc>
          <w:tcPr>
            <w:tcW w:w="2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101.8%</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Overseas Assets Under Management (RMB, billion)</w:t>
            </w:r>
          </w:p>
        </w:tc>
        <w:tc>
          <w:tcPr>
            <w:tcW w:w="2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r>
      <w:tr>
        <w:trPr>
          <w:trHeight w:val="630"/>
        </w:trPr>
        <w:tc>
          <w:tcPr>
            <w:tcW w:w="5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RMB, except for per ADS data and percentages)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40" w:type="dxa"/>
            <w:vAlign w:val="bottom"/>
            <w:gridSpan w:val="4"/>
          </w:tcPr>
          <w:p>
            <w:pPr>
              <w:jc w:val="right"/>
              <w:ind w:right="1120"/>
              <w:spacing w:after="0"/>
              <w:rPr>
                <w:sz w:val="20"/>
                <w:szCs w:val="20"/>
                <w:color w:val="auto"/>
              </w:rPr>
            </w:pPr>
            <w:r>
              <w:rPr>
                <w:rFonts w:ascii="Times New Roman" w:cs="Times New Roman" w:eastAsia="Times New Roman" w:hAnsi="Times New Roman"/>
                <w:sz w:val="18"/>
                <w:szCs w:val="18"/>
                <w:color w:val="auto"/>
              </w:rPr>
              <w:t>Three months ended</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5"/>
        </w:trPr>
        <w:tc>
          <w:tcPr>
            <w:tcW w:w="5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Borders>
              <w:top w:val="single" w:sz="8" w:color="auto"/>
            </w:tcBorders>
            <w:gridSpan w:val="2"/>
          </w:tcPr>
          <w:p>
            <w:pPr>
              <w:ind w:left="42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440" w:type="dxa"/>
            <w:vAlign w:val="bottom"/>
            <w:tcBorders>
              <w:top w:val="single" w:sz="8" w:color="auto"/>
            </w:tcBorders>
          </w:tcPr>
          <w:p>
            <w:pPr>
              <w:ind w:left="42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480" w:type="dxa"/>
            <w:vAlign w:val="bottom"/>
          </w:tcPr>
          <w:p>
            <w:pPr>
              <w:spacing w:after="0"/>
              <w:rPr>
                <w:sz w:val="20"/>
                <w:szCs w:val="20"/>
                <w:color w:val="auto"/>
              </w:rPr>
            </w:pPr>
          </w:p>
        </w:tc>
        <w:tc>
          <w:tcPr>
            <w:tcW w:w="2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5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RMB'000</w:t>
            </w:r>
          </w:p>
        </w:tc>
        <w:tc>
          <w:tcPr>
            <w:tcW w:w="280" w:type="dxa"/>
            <w:vAlign w:val="bottom"/>
          </w:tcPr>
          <w:p>
            <w:pPr>
              <w:spacing w:after="0"/>
              <w:rPr>
                <w:sz w:val="18"/>
                <w:szCs w:val="18"/>
                <w:color w:val="auto"/>
              </w:rPr>
            </w:pPr>
          </w:p>
        </w:tc>
        <w:tc>
          <w:tcPr>
            <w:tcW w:w="14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RMB'000</w:t>
            </w:r>
          </w:p>
        </w:tc>
        <w:tc>
          <w:tcPr>
            <w:tcW w:w="2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Noah shareholders</w:t>
            </w:r>
          </w:p>
        </w:tc>
        <w:tc>
          <w:tcPr>
            <w:tcW w:w="2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315,428</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99,787</w:t>
            </w:r>
          </w:p>
        </w:tc>
        <w:tc>
          <w:tcPr>
            <w:tcW w:w="16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(68.4)%</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share-based compensation</w:t>
            </w:r>
          </w:p>
        </w:tc>
        <w:tc>
          <w:tcPr>
            <w:tcW w:w="2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(3,055)</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21,880</w:t>
            </w:r>
          </w:p>
        </w:tc>
        <w:tc>
          <w:tcPr>
            <w:tcW w:w="16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settlement reversal</w:t>
            </w:r>
          </w:p>
        </w:tc>
        <w:tc>
          <w:tcPr>
            <w:tcW w:w="2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(11,476)</w:t>
            </w:r>
          </w:p>
        </w:tc>
        <w:tc>
          <w:tcPr>
            <w:tcW w:w="16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tax effect of adjustments</w:t>
            </w:r>
          </w:p>
        </w:tc>
        <w:tc>
          <w:tcPr>
            <w:tcW w:w="2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(740)</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4,139</w:t>
            </w:r>
          </w:p>
        </w:tc>
        <w:tc>
          <w:tcPr>
            <w:tcW w:w="16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Noah shareholders (non-GAAP)</w:t>
            </w:r>
          </w:p>
        </w:tc>
        <w:tc>
          <w:tcPr>
            <w:tcW w:w="2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313,113</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106,052</w:t>
            </w:r>
          </w:p>
        </w:tc>
        <w:tc>
          <w:tcPr>
            <w:tcW w:w="16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(66.1)%</w:t>
            </w:r>
          </w:p>
        </w:tc>
      </w:tr>
      <w:tr>
        <w:trPr>
          <w:trHeight w:val="216"/>
        </w:trPr>
        <w:tc>
          <w:tcPr>
            <w:tcW w:w="5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margin attributable to Noah shareholders</w:t>
            </w:r>
          </w:p>
        </w:tc>
        <w:tc>
          <w:tcPr>
            <w:tcW w:w="2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margin attributable to Noah shareholders</w:t>
            </w:r>
          </w:p>
        </w:tc>
        <w:tc>
          <w:tcPr>
            <w:tcW w:w="2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Noah shareholders per ADS, diluted</w:t>
            </w:r>
          </w:p>
        </w:tc>
        <w:tc>
          <w:tcPr>
            <w:tcW w:w="2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4.54</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16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(68.7)%</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Noah shareholders per ADS, diluted</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4.51</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w:t>
            </w:r>
          </w:p>
        </w:tc>
        <w:tc>
          <w:tcPr>
            <w:tcW w:w="1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(66.5)%</w:t>
            </w:r>
          </w:p>
        </w:tc>
      </w:tr>
      <w:tr>
        <w:trPr>
          <w:trHeight w:val="630"/>
        </w:trPr>
        <w:tc>
          <w:tcPr>
            <w:tcW w:w="5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RMB, except for per ADS data and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2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color w:val="auto"/>
              </w:rPr>
              <w:t>Six months ended</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5"/>
        </w:trPr>
        <w:tc>
          <w:tcPr>
            <w:tcW w:w="5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00" w:type="dxa"/>
            <w:vAlign w:val="bottom"/>
            <w:tcBorders>
              <w:top w:val="single" w:sz="8" w:color="auto"/>
            </w:tcBorders>
            <w:gridSpan w:val="2"/>
          </w:tcPr>
          <w:p>
            <w:pPr>
              <w:ind w:left="42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440" w:type="dxa"/>
            <w:vAlign w:val="bottom"/>
            <w:tcBorders>
              <w:top w:val="single" w:sz="8" w:color="auto"/>
            </w:tcBorders>
          </w:tcPr>
          <w:p>
            <w:pPr>
              <w:ind w:left="42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480" w:type="dxa"/>
            <w:vAlign w:val="bottom"/>
          </w:tcPr>
          <w:p>
            <w:pPr>
              <w:spacing w:after="0"/>
              <w:rPr>
                <w:sz w:val="20"/>
                <w:szCs w:val="20"/>
                <w:color w:val="auto"/>
              </w:rPr>
            </w:pPr>
          </w:p>
        </w:tc>
        <w:tc>
          <w:tcPr>
            <w:tcW w:w="21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5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RMB'000</w:t>
            </w:r>
          </w:p>
        </w:tc>
        <w:tc>
          <w:tcPr>
            <w:tcW w:w="280" w:type="dxa"/>
            <w:vAlign w:val="bottom"/>
          </w:tcPr>
          <w:p>
            <w:pPr>
              <w:spacing w:after="0"/>
              <w:rPr>
                <w:sz w:val="18"/>
                <w:szCs w:val="18"/>
                <w:color w:val="auto"/>
              </w:rPr>
            </w:pPr>
          </w:p>
        </w:tc>
        <w:tc>
          <w:tcPr>
            <w:tcW w:w="14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RMB'000</w:t>
            </w:r>
          </w:p>
        </w:tc>
        <w:tc>
          <w:tcPr>
            <w:tcW w:w="2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Noah shareholders</w:t>
            </w:r>
          </w:p>
        </w:tc>
        <w:tc>
          <w:tcPr>
            <w:tcW w:w="2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559,638</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231,278</w:t>
            </w:r>
          </w:p>
        </w:tc>
        <w:tc>
          <w:tcPr>
            <w:tcW w:w="16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(58.7)%</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share-based compensation</w:t>
            </w:r>
          </w:p>
        </w:tc>
        <w:tc>
          <w:tcPr>
            <w:tcW w:w="2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(9,244)</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58,479</w:t>
            </w:r>
          </w:p>
        </w:tc>
        <w:tc>
          <w:tcPr>
            <w:tcW w:w="16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settlement reversal</w:t>
            </w:r>
          </w:p>
        </w:tc>
        <w:tc>
          <w:tcPr>
            <w:tcW w:w="2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(11,476)</w:t>
            </w:r>
          </w:p>
        </w:tc>
        <w:tc>
          <w:tcPr>
            <w:tcW w:w="16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tax effect of adjustments</w:t>
            </w:r>
          </w:p>
        </w:tc>
        <w:tc>
          <w:tcPr>
            <w:tcW w:w="2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(2,239)</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11,061</w:t>
            </w:r>
          </w:p>
        </w:tc>
        <w:tc>
          <w:tcPr>
            <w:tcW w:w="16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Noah shareholders (non-GAAP)</w:t>
            </w:r>
          </w:p>
        </w:tc>
        <w:tc>
          <w:tcPr>
            <w:tcW w:w="2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552,633</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267,220</w:t>
            </w:r>
          </w:p>
        </w:tc>
        <w:tc>
          <w:tcPr>
            <w:tcW w:w="16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(51.6)%</w:t>
            </w:r>
          </w:p>
        </w:tc>
      </w:tr>
      <w:tr>
        <w:trPr>
          <w:trHeight w:val="216"/>
        </w:trPr>
        <w:tc>
          <w:tcPr>
            <w:tcW w:w="5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margin attributable to Noah shareholders</w:t>
            </w:r>
          </w:p>
        </w:tc>
        <w:tc>
          <w:tcPr>
            <w:tcW w:w="2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margin attributable to Noah shareholders</w:t>
            </w:r>
          </w:p>
        </w:tc>
        <w:tc>
          <w:tcPr>
            <w:tcW w:w="2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Noah shareholders per ADS, diluted</w:t>
            </w:r>
          </w:p>
        </w:tc>
        <w:tc>
          <w:tcPr>
            <w:tcW w:w="2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8.05</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16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9"/>
              </w:rPr>
              <w:t>(59.0)%</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Noah shareholders per ADS, diluted</w:t>
            </w:r>
          </w:p>
        </w:tc>
        <w:tc>
          <w:tcPr>
            <w:tcW w:w="2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7.95</w:t>
            </w: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3.81</w:t>
            </w:r>
          </w:p>
        </w:tc>
        <w:tc>
          <w:tcPr>
            <w:tcW w:w="1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99"/>
              </w:rPr>
              <w:t>(52.1)%</w:t>
            </w:r>
          </w:p>
        </w:tc>
      </w:tr>
      <w:tr>
        <w:trPr>
          <w:trHeight w:val="630"/>
        </w:trPr>
        <w:tc>
          <w:tcPr>
            <w:tcW w:w="5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48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Noah Holdings Announces US$50 Million Share Repurchase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SHANGHAI, August 29, 2024 /PRNewswire/ -- Noah Holdings Limited ("Noah" or the "Company") (NYSE: NOAH and HKEX: 6686), a leading and pioneer wealth management service provider offering comprehensive one-stop advisory services on global investment and asset allocation primarily for Mandarin-speaking high-net-worth investors, today announced that as part of its commitment to enhancing shareholder returns, the board of directors of the Company (the “Board”) authorized a share repurchase program under which the Company may repurchase up to US$50 million of its American depositary shares or ordinary shares, effective immediately. The authorized term for carrying out this share repurchase program is two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announced in November 2023 that a new capital management and shareholder return policy (the “Policy”) had been adopted, pursuant to which up to 50% the Company's non-GAAP net income attributable to shareholders of the preceding financial year will be allocated to a Corporate Actions Budget which will serve various purposes, including dividend distribution and share repurchases. The share repurchase program announced today does not form a part of the Corporate Actions Budget under the Policy. The Corporate Actions Budget based on the Company’s financial performance in 2024 is expected to be determined and announced alongside the Company’s earnings results for the fourth quarter and full year ending on December 31,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 repurchases under the repurchase program announced today will be carried out from time to time on the open market at prevailing market prices, in privately negotiated transactions, in block trades or through other legally permissible means, depending on market conditions and will be implemented in accordance with applicable rules and regulations. The Board will review the share repurchase program periodically and may authorize adjustments of its terms and size. The Company expects to fund repurchases made under this program from its existing cash balance and cash generated from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Jingbo Wang, co-founder and chairwoman of Noah, commented, “This share repurchase program, along with the dividend payout we just completed, reflects our unwavering commitment to prioritizing shareholder interests and delivering sustained returns. While China’s wealth management industry is navigating a challenging period and undergoing a transition, we remain confident in Noah’s unique advantages stemming from our deep understanding of Mandarin-speaking high-net-worth individuals’ (HNWIs) needs and our ability to deliver products and services to this still-growing client base. We are one of a few independent firms that maintains access, through years of investor education, to a large group of qualified individual investors who continue to seek professional services.”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such, we believe that our stock is deeply undervalued and does not reflect our growth prospects, robust balance sheet and cash reserves, or the special bond we have formed with the Mandarin-speaking HNWIs globally. We value both our long-term and new shareholders and are committed to sharing our success with them through more proactive capital allocation policies moving forward.”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2023 Dividend Payout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late July and early August 2024, Noah rewarded shareholders with a record RMB1,018 million (approximately US$140.1 million) dividend payout for full year 2023, equivalent to 100% of its annual non-GAAP net income, including the final dividend under the Policy and a special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Capital Management and Shareholder Return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2023, the Board adopted the Policy where up to 50% of the Company's non-GAAP net income attributable to shareholders of the preceding financial year will be allocated to a Corporate Actions Budget which will serve various purposes, including dividend distribution and share repurchases.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Policy, no less than 35% of the Company's non-GAAP net income attributable to shareholders of the preceding financial year will be allocated toward dividends to be distributed in each calendar year, subject to various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Corporate Actions Budget based on the Company’s financial performance in 2024 is expected to be determined and announced alongside the Company’s earnings results for the fourth quarter and full year ending on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NOAH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Noah Holdings Limited (NYSE: NOAH and HKEX: 6686) is a leading and pioneer wealth management service provider offering comprehensive one-stop advisory services on global investment and asset allocation primarily for Mandarin-speaking high-net-worth investors. In 2024 Q1, Noah distributed RMB18.9 billion (US$2.6 billion) of investment products. Through Gopher Asset Management, Noah had assets under management of RMB153.3 billion (US$21.2 billion) as of March 31,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Noah's wealth management business primarily distributes private equity, private secondary, mutual funds, and other products denominated in RMB and other currencies. Noah's network covers major cities in mainland China, as well as Hong Kong (China), New York, Silicon Valley, Singapore, and Los Angeles. The Company's wealth management business had 457,705 registered clients as of March 31, 2024. Through Gopher Asset Management, Noah manages private equity, public securities, real estate, multi-strategy, and other investments denominated in Renminbi and other currencies. Noah also provides other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Noah at ir.noahgroup.com.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Noah may also make written or oral forward-looking statements in its periodic reports to the U.S. Securities and Exchange Commission, in its annual reports to shareholders, in announcements, circulars or other publications made on the website of The Stock Exchange of Hong Kong Limited (the "Hong Kong Stock Exchange"), in press releases and other written materials and in oral statements made by its officers, directors or employees to third parties. Statements that are not historical facts, including statements about Noah's beliefs and expectations, are forward-looking statements. Forward-looking statements involve inherent risks and uncertainties. These statements include, but are not limited to, estimates regarding the sufficiency of Noah's cash and cash equivalents and liquidity risk. A number of factors could cause Noah's actual results to differ materially from those contained in any forward-looking statement, including but not limited to the following: its goals and strategies; its future business development, financial condition and results of operations; the expected growth of the wealth management and asset management market in China and internationally; its expectations regarding demand for and market acceptance of the products it distributes; investment risks associated with investment products distributed to Noah's investors, including the risk of default by counterparties or loss of value due to market or business conditions or misconduct by counterparties; its expectations regarding keeping and strengthening its relationships with key clients; relevant government policies and regulations relating to its industries; its ability to attract and retain qualified employees; its ability to stay abreast of market trends and technological advances; its plans to invest in research and development to enhance its product choices and service offerings; competition in its industries in China and internationally; general economic and business conditions globally and in China; and its ability to effectively protect its intellectual property rights and not to infringe on the intellectual property rights of others. Further information regarding these and other risks is included in Noah's filings with the U.S. Securities and Exchange Commission and the Hong Kong Stock Exchange. All information provided in this press release and in the attachments is as of the date of this press release, and Noah does not undertake any obligation to update any such information, including forward-looking statements, as a result of new information, future events or otherwise, except as required under the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Noah Holdings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Melo Xi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+86-21-8035-8292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ir@noahgroup.com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
      <w:numFmt w:val="bullet"/>
      <w:start w:val="1"/>
    </w:lvl>
    <w:lvl w:ilvl="1">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lvl w:ilvl="1">
      <w:lvlJc w:val="left"/>
      <w:lvlText w:val="·"/>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2024-08-28T18:13:46Z</dcterms:created>
  <dcterms:modified xsi:type="dcterms:W3CDTF">2024-08-28T18:13:46Z</dcterms:modified>
</cp:coreProperties>
</file>