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9540" w:val="left"/>
        </w:tabs>
        <w:rPr>
          <w:sz w:val="20"/>
          <w:szCs w:val="20"/>
          <w:color w:val="auto"/>
        </w:rPr>
      </w:pPr>
      <w:r>
        <w:rPr>
          <w:rFonts w:ascii="Arial" w:cs="Arial" w:eastAsia="Arial" w:hAnsi="Arial"/>
          <w:sz w:val="18"/>
          <w:szCs w:val="18"/>
          <w:b w:val="1"/>
          <w:bCs w:val="1"/>
          <w:color w:val="auto"/>
        </w:rPr>
        <w:t>As filed with the Securities and Exchange Commission on October 27, 2010</w:t>
      </w:r>
      <w:r>
        <w:rPr>
          <w:sz w:val="20"/>
          <w:szCs w:val="20"/>
          <w:color w:val="auto"/>
        </w:rPr>
        <w:tab/>
      </w:r>
      <w:r>
        <w:rPr>
          <w:rFonts w:ascii="Arial" w:cs="Arial" w:eastAsia="Arial" w:hAnsi="Arial"/>
          <w:sz w:val="16"/>
          <w:szCs w:val="16"/>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472" w:right="239" w:bottom="774" w:gutter="0" w:footer="0" w:header="0"/>
        </w:sectPr>
      </w:pPr>
    </w:p>
    <w:p>
      <w:pPr>
        <w:spacing w:after="0" w:line="8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68580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F-6</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74295</wp:posOffset>
            </wp:positionV>
            <wp:extent cx="746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NOAH HOLDINGS LIMITED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73025</wp:posOffset>
            </wp:positionV>
            <wp:extent cx="746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74295</wp:posOffset>
            </wp:positionV>
            <wp:extent cx="746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Cayman Islands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 of issuer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74295</wp:posOffset>
            </wp:positionV>
            <wp:extent cx="2186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depositary as specified in its charter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74295</wp:posOffset>
            </wp:positionV>
            <wp:extent cx="746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31"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399 Park Avenue</w:t>
      </w:r>
    </w:p>
    <w:p>
      <w:pPr>
        <w:spacing w:after="0" w:line="23"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New York, New York 10043</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(212) 816-6690</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74295</wp:posOffset>
            </wp:positionV>
            <wp:extent cx="746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Law Debenture Corporate Services Inc.</w:t>
      </w:r>
    </w:p>
    <w:p>
      <w:pPr>
        <w:jc w:val="center"/>
        <w:spacing w:after="0" w:line="201" w:lineRule="auto"/>
        <w:rPr>
          <w:sz w:val="20"/>
          <w:szCs w:val="20"/>
          <w:color w:val="auto"/>
        </w:rPr>
      </w:pPr>
      <w:r>
        <w:rPr>
          <w:rFonts w:ascii="Arial" w:cs="Arial" w:eastAsia="Arial" w:hAnsi="Arial"/>
          <w:sz w:val="18"/>
          <w:szCs w:val="18"/>
          <w:color w:val="auto"/>
        </w:rPr>
        <w:t>400 Madison Avenue, 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jc w:val="center"/>
        <w:spacing w:after="0"/>
        <w:rPr>
          <w:sz w:val="20"/>
          <w:szCs w:val="20"/>
          <w:color w:val="auto"/>
        </w:rPr>
      </w:pPr>
      <w:r>
        <w:rPr>
          <w:rFonts w:ascii="Arial" w:cs="Arial" w:eastAsia="Arial" w:hAnsi="Arial"/>
          <w:sz w:val="18"/>
          <w:szCs w:val="18"/>
          <w:color w:val="auto"/>
        </w:rPr>
        <w:t>New York, NY 10017</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(212) 750-6474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 area code, of agent for service)</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60" w:type="dxa"/>
            <w:vAlign w:val="bottom"/>
            <w:gridSpan w:val="4"/>
          </w:tcPr>
          <w:p>
            <w:pPr>
              <w:jc w:val="center"/>
              <w:ind w:right="1410"/>
              <w:spacing w:after="0"/>
              <w:rPr>
                <w:sz w:val="20"/>
                <w:szCs w:val="20"/>
                <w:color w:val="auto"/>
              </w:rPr>
            </w:pPr>
            <w:r>
              <w:rPr>
                <w:rFonts w:ascii="Arial" w:cs="Arial" w:eastAsia="Arial" w:hAnsi="Arial"/>
                <w:sz w:val="18"/>
                <w:szCs w:val="18"/>
                <w:color w:val="auto"/>
                <w:w w:val="91"/>
              </w:rPr>
              <w:t>Copies to:</w:t>
            </w: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480" w:type="dxa"/>
            <w:vAlign w:val="bottom"/>
            <w:gridSpan w:val="2"/>
          </w:tcPr>
          <w:p>
            <w:pPr>
              <w:jc w:val="center"/>
              <w:ind w:left="1290"/>
              <w:spacing w:after="0"/>
              <w:rPr>
                <w:sz w:val="20"/>
                <w:szCs w:val="20"/>
                <w:color w:val="auto"/>
              </w:rPr>
            </w:pPr>
            <w:r>
              <w:rPr>
                <w:rFonts w:ascii="Arial" w:cs="Arial" w:eastAsia="Arial" w:hAnsi="Arial"/>
                <w:sz w:val="18"/>
                <w:szCs w:val="18"/>
                <w:b w:val="1"/>
                <w:bCs w:val="1"/>
                <w:color w:val="auto"/>
                <w:w w:val="91"/>
              </w:rPr>
              <w:t>Z. Julie Gao, Esq.</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gridSpan w:val="3"/>
          </w:tcPr>
          <w:p>
            <w:pPr>
              <w:jc w:val="center"/>
              <w:ind w:right="990"/>
              <w:spacing w:after="0"/>
              <w:rPr>
                <w:sz w:val="20"/>
                <w:szCs w:val="20"/>
                <w:color w:val="auto"/>
              </w:rPr>
            </w:pPr>
            <w:r>
              <w:rPr>
                <w:rFonts w:ascii="Arial" w:cs="Arial" w:eastAsia="Arial" w:hAnsi="Arial"/>
                <w:sz w:val="18"/>
                <w:szCs w:val="18"/>
                <w:b w:val="1"/>
                <w:bCs w:val="1"/>
                <w:color w:val="auto"/>
                <w:w w:val="92"/>
              </w:rPr>
              <w:t>Herman H. Raspé, Esq.</w:t>
            </w:r>
          </w:p>
        </w:tc>
        <w:tc>
          <w:tcPr>
            <w:tcW w:w="0" w:type="dxa"/>
            <w:vAlign w:val="bottom"/>
          </w:tcPr>
          <w:p>
            <w:pPr>
              <w:spacing w:after="0"/>
              <w:rPr>
                <w:sz w:val="1"/>
                <w:szCs w:val="1"/>
                <w:color w:val="auto"/>
              </w:rPr>
            </w:pPr>
          </w:p>
        </w:tc>
      </w:tr>
      <w:tr>
        <w:trPr>
          <w:trHeight w:val="216"/>
        </w:trPr>
        <w:tc>
          <w:tcPr>
            <w:tcW w:w="52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2"/>
              </w:rPr>
              <w:t>Skadden, Arps, Slate, Meagher &amp; Flom LLP</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4"/>
          </w:tcPr>
          <w:p>
            <w:pPr>
              <w:jc w:val="center"/>
              <w:ind w:right="810"/>
              <w:spacing w:after="0"/>
              <w:rPr>
                <w:sz w:val="20"/>
                <w:szCs w:val="20"/>
                <w:color w:val="auto"/>
              </w:rPr>
            </w:pPr>
            <w:r>
              <w:rPr>
                <w:rFonts w:ascii="Arial" w:cs="Arial" w:eastAsia="Arial" w:hAnsi="Arial"/>
                <w:sz w:val="18"/>
                <w:szCs w:val="18"/>
                <w:b w:val="1"/>
                <w:bCs w:val="1"/>
                <w:color w:val="auto"/>
                <w:w w:val="93"/>
              </w:rPr>
              <w:t>Patterson Belknap Webb &amp; Tyler LLP</w:t>
            </w:r>
          </w:p>
        </w:tc>
        <w:tc>
          <w:tcPr>
            <w:tcW w:w="0" w:type="dxa"/>
            <w:vAlign w:val="bottom"/>
          </w:tcPr>
          <w:p>
            <w:pPr>
              <w:spacing w:after="0"/>
              <w:rPr>
                <w:sz w:val="1"/>
                <w:szCs w:val="1"/>
                <w:color w:val="auto"/>
              </w:rPr>
            </w:pPr>
          </w:p>
        </w:tc>
      </w:tr>
      <w:tr>
        <w:trPr>
          <w:trHeight w:val="216"/>
        </w:trPr>
        <w:tc>
          <w:tcPr>
            <w:tcW w:w="52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2"/>
              </w:rPr>
              <w:t>c/o 42/F, Edinburgh Tower, The Landmark</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gridSpan w:val="3"/>
          </w:tcPr>
          <w:p>
            <w:pPr>
              <w:jc w:val="center"/>
              <w:ind w:right="990"/>
              <w:spacing w:after="0"/>
              <w:rPr>
                <w:sz w:val="20"/>
                <w:szCs w:val="20"/>
                <w:color w:val="auto"/>
              </w:rPr>
            </w:pPr>
            <w:r>
              <w:rPr>
                <w:rFonts w:ascii="Arial" w:cs="Arial" w:eastAsia="Arial" w:hAnsi="Arial"/>
                <w:sz w:val="18"/>
                <w:szCs w:val="18"/>
                <w:b w:val="1"/>
                <w:bCs w:val="1"/>
                <w:color w:val="auto"/>
                <w:w w:val="88"/>
              </w:rPr>
              <w:t>1133 Avenue of the Americas</w:t>
            </w:r>
          </w:p>
        </w:tc>
        <w:tc>
          <w:tcPr>
            <w:tcW w:w="0" w:type="dxa"/>
            <w:vAlign w:val="bottom"/>
          </w:tcPr>
          <w:p>
            <w:pPr>
              <w:spacing w:after="0"/>
              <w:rPr>
                <w:sz w:val="1"/>
                <w:szCs w:val="1"/>
                <w:color w:val="auto"/>
              </w:rPr>
            </w:pPr>
          </w:p>
        </w:tc>
      </w:tr>
      <w:tr>
        <w:trPr>
          <w:trHeight w:val="216"/>
        </w:trPr>
        <w:tc>
          <w:tcPr>
            <w:tcW w:w="3480" w:type="dxa"/>
            <w:vAlign w:val="bottom"/>
            <w:gridSpan w:val="2"/>
          </w:tcPr>
          <w:p>
            <w:pPr>
              <w:jc w:val="center"/>
              <w:ind w:left="1290"/>
              <w:spacing w:after="0"/>
              <w:rPr>
                <w:sz w:val="20"/>
                <w:szCs w:val="20"/>
                <w:color w:val="auto"/>
              </w:rPr>
            </w:pPr>
            <w:r>
              <w:rPr>
                <w:rFonts w:ascii="Arial" w:cs="Arial" w:eastAsia="Arial" w:hAnsi="Arial"/>
                <w:sz w:val="18"/>
                <w:szCs w:val="18"/>
                <w:b w:val="1"/>
                <w:bCs w:val="1"/>
                <w:color w:val="auto"/>
                <w:w w:val="91"/>
              </w:rPr>
              <w:t>15 Queen’s Road Central</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gridSpan w:val="3"/>
          </w:tcPr>
          <w:p>
            <w:pPr>
              <w:jc w:val="center"/>
              <w:ind w:right="1010"/>
              <w:spacing w:after="0"/>
              <w:rPr>
                <w:sz w:val="20"/>
                <w:szCs w:val="20"/>
                <w:color w:val="auto"/>
              </w:rPr>
            </w:pPr>
            <w:r>
              <w:rPr>
                <w:rFonts w:ascii="Arial" w:cs="Arial" w:eastAsia="Arial" w:hAnsi="Arial"/>
                <w:sz w:val="18"/>
                <w:szCs w:val="18"/>
                <w:b w:val="1"/>
                <w:bCs w:val="1"/>
                <w:color w:val="auto"/>
                <w:w w:val="94"/>
              </w:rPr>
              <w:t>New York, New York 10036</w:t>
            </w:r>
          </w:p>
        </w:tc>
        <w:tc>
          <w:tcPr>
            <w:tcW w:w="0" w:type="dxa"/>
            <w:vAlign w:val="bottom"/>
          </w:tcPr>
          <w:p>
            <w:pPr>
              <w:spacing w:after="0"/>
              <w:rPr>
                <w:sz w:val="1"/>
                <w:szCs w:val="1"/>
                <w:color w:val="auto"/>
              </w:rPr>
            </w:pPr>
          </w:p>
        </w:tc>
      </w:tr>
      <w:tr>
        <w:trPr>
          <w:trHeight w:val="216"/>
        </w:trPr>
        <w:tc>
          <w:tcPr>
            <w:tcW w:w="348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90"/>
              </w:rPr>
              <w:t>Hong Kong</w:t>
            </w: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92"/>
              </w:rPr>
              <w:t>(212) 336-2301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jc w:val="center"/>
              <w:ind w:left="1390"/>
              <w:spacing w:after="0"/>
              <w:rPr>
                <w:sz w:val="20"/>
                <w:szCs w:val="20"/>
                <w:color w:val="auto"/>
              </w:rPr>
            </w:pPr>
            <w:r>
              <w:rPr>
                <w:rFonts w:ascii="Arial" w:cs="Arial" w:eastAsia="Arial" w:hAnsi="Arial"/>
                <w:sz w:val="18"/>
                <w:szCs w:val="18"/>
                <w:b w:val="1"/>
                <w:bCs w:val="1"/>
                <w:color w:val="auto"/>
                <w:w w:val="91"/>
              </w:rPr>
              <w:t>(852) 3740-4700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9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280" w:type="dxa"/>
            <w:vAlign w:val="bottom"/>
            <w:gridSpan w:val="4"/>
          </w:tcPr>
          <w:p>
            <w:pPr>
              <w:ind w:left="340"/>
              <w:spacing w:after="0"/>
              <w:rPr>
                <w:sz w:val="20"/>
                <w:szCs w:val="20"/>
                <w:color w:val="auto"/>
              </w:rPr>
            </w:pPr>
            <w:r>
              <w:rPr>
                <w:rFonts w:ascii="Arial" w:cs="Arial" w:eastAsia="Arial" w:hAnsi="Arial"/>
                <w:sz w:val="18"/>
                <w:szCs w:val="18"/>
                <w:color w:val="auto"/>
                <w:w w:val="99"/>
              </w:rPr>
              <w:t>It is proposed that this filing become effective under Rule 466:</w:t>
            </w:r>
          </w:p>
        </w:tc>
        <w:tc>
          <w:tcPr>
            <w:tcW w:w="120" w:type="dxa"/>
            <w:vAlign w:val="bottom"/>
          </w:tcPr>
          <w:p>
            <w:pPr>
              <w:spacing w:after="0"/>
              <w:rPr>
                <w:sz w:val="24"/>
                <w:szCs w:val="24"/>
                <w:color w:val="auto"/>
              </w:rPr>
            </w:pPr>
          </w:p>
        </w:tc>
        <w:tc>
          <w:tcPr>
            <w:tcW w:w="4280" w:type="dxa"/>
            <w:vAlign w:val="bottom"/>
            <w:gridSpan w:val="5"/>
          </w:tcPr>
          <w:p>
            <w:pPr>
              <w:ind w:left="640"/>
              <w:spacing w:after="0"/>
              <w:rPr>
                <w:sz w:val="20"/>
                <w:szCs w:val="20"/>
                <w:color w:val="auto"/>
              </w:rPr>
            </w:pPr>
            <w:r>
              <w:rPr>
                <w:rFonts w:ascii="Arial" w:cs="Arial" w:eastAsia="Arial" w:hAnsi="Arial"/>
                <w:sz w:val="18"/>
                <w:szCs w:val="18"/>
                <w:color w:val="auto"/>
              </w:rPr>
              <w:t>o immediately upon filing.</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3"/>
          </w:tcPr>
          <w:p>
            <w:pPr>
              <w:ind w:left="640"/>
              <w:spacing w:after="0"/>
              <w:rPr>
                <w:sz w:val="20"/>
                <w:szCs w:val="20"/>
                <w:color w:val="auto"/>
              </w:rPr>
            </w:pPr>
            <w:r>
              <w:rPr>
                <w:rFonts w:ascii="Arial" w:cs="Arial" w:eastAsia="Arial" w:hAnsi="Arial"/>
                <w:sz w:val="18"/>
                <w:szCs w:val="18"/>
                <w:color w:val="auto"/>
                <w:w w:val="91"/>
              </w:rPr>
              <w:t>o on (Date) at (Time).</w:t>
            </w: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680" w:type="dxa"/>
            <w:vAlign w:val="bottom"/>
            <w:gridSpan w:val="10"/>
          </w:tcPr>
          <w:p>
            <w:pPr>
              <w:ind w:left="340"/>
              <w:spacing w:after="0"/>
              <w:rPr>
                <w:sz w:val="20"/>
                <w:szCs w:val="20"/>
                <w:color w:val="auto"/>
              </w:rPr>
            </w:pPr>
            <w:r>
              <w:rPr>
                <w:rFonts w:ascii="Arial" w:cs="Arial" w:eastAsia="Arial" w:hAnsi="Arial"/>
                <w:sz w:val="18"/>
                <w:szCs w:val="18"/>
                <w:color w:val="auto"/>
              </w:rPr>
              <w:t>If a separate registration statement has been filed to register the deposited shares, check the following box : x</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0" w:type="dxa"/>
            <w:vAlign w:val="bottom"/>
            <w:tcBorders>
              <w:bottom w:val="single" w:sz="8" w:color="808080"/>
            </w:tcBorders>
            <w:gridSpan w:val="2"/>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5"/>
        </w:trPr>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gridSpan w:val="6"/>
          </w:tcPr>
          <w:p>
            <w:pPr>
              <w:jc w:val="center"/>
              <w:ind w:left="228"/>
              <w:spacing w:after="0"/>
              <w:rPr>
                <w:sz w:val="20"/>
                <w:szCs w:val="20"/>
                <w:color w:val="auto"/>
              </w:rPr>
            </w:pPr>
            <w:r>
              <w:rPr>
                <w:rFonts w:ascii="Arial" w:cs="Arial" w:eastAsia="Arial" w:hAnsi="Arial"/>
                <w:sz w:val="20"/>
                <w:szCs w:val="20"/>
                <w:b w:val="1"/>
                <w:bCs w:val="1"/>
                <w:color w:val="auto"/>
              </w:rPr>
              <w:t>CALCULATION OF REGISTRATION FEE</w:t>
            </w: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gridSpan w:val="2"/>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38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Title of Each Class of</w:t>
            </w:r>
          </w:p>
        </w:tc>
        <w:tc>
          <w:tcPr>
            <w:tcW w:w="100" w:type="dxa"/>
            <w:vAlign w:val="bottom"/>
          </w:tcPr>
          <w:p>
            <w:pPr>
              <w:spacing w:after="0"/>
              <w:rPr>
                <w:sz w:val="19"/>
                <w:szCs w:val="19"/>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3"/>
              </w:rPr>
              <w:t>Amount to be</w:t>
            </w:r>
          </w:p>
        </w:tc>
        <w:tc>
          <w:tcPr>
            <w:tcW w:w="12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Proposed Maximum</w:t>
            </w:r>
          </w:p>
        </w:tc>
        <w:tc>
          <w:tcPr>
            <w:tcW w:w="220" w:type="dxa"/>
            <w:vAlign w:val="bottom"/>
            <w:gridSpan w:val="2"/>
          </w:tcPr>
          <w:p>
            <w:pPr>
              <w:spacing w:after="0"/>
              <w:rPr>
                <w:sz w:val="19"/>
                <w:szCs w:val="19"/>
                <w:color w:val="auto"/>
              </w:rPr>
            </w:pPr>
          </w:p>
        </w:tc>
        <w:tc>
          <w:tcPr>
            <w:tcW w:w="17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1"/>
              </w:rPr>
              <w:t>Proposed Maximum</w:t>
            </w:r>
          </w:p>
        </w:tc>
        <w:tc>
          <w:tcPr>
            <w:tcW w:w="260" w:type="dxa"/>
            <w:vAlign w:val="bottom"/>
          </w:tcPr>
          <w:p>
            <w:pPr>
              <w:spacing w:after="0"/>
              <w:rPr>
                <w:sz w:val="19"/>
                <w:szCs w:val="19"/>
                <w:color w:val="auto"/>
              </w:rPr>
            </w:pPr>
          </w:p>
        </w:tc>
        <w:tc>
          <w:tcPr>
            <w:tcW w:w="1740" w:type="dxa"/>
            <w:vAlign w:val="bottom"/>
          </w:tcPr>
          <w:p>
            <w:pPr>
              <w:jc w:val="center"/>
              <w:ind w:right="170"/>
              <w:spacing w:after="0"/>
              <w:rPr>
                <w:sz w:val="20"/>
                <w:szCs w:val="20"/>
                <w:color w:val="auto"/>
              </w:rPr>
            </w:pPr>
            <w:r>
              <w:rPr>
                <w:rFonts w:ascii="Arial" w:cs="Arial" w:eastAsia="Arial" w:hAnsi="Arial"/>
                <w:sz w:val="18"/>
                <w:szCs w:val="18"/>
                <w:color w:val="auto"/>
                <w:w w:val="97"/>
              </w:rPr>
              <w:t>Amount of</w:t>
            </w:r>
          </w:p>
        </w:tc>
        <w:tc>
          <w:tcPr>
            <w:tcW w:w="0" w:type="dxa"/>
            <w:vAlign w:val="bottom"/>
          </w:tcPr>
          <w:p>
            <w:pPr>
              <w:spacing w:after="0"/>
              <w:rPr>
                <w:sz w:val="1"/>
                <w:szCs w:val="1"/>
                <w:color w:val="auto"/>
              </w:rPr>
            </w:pPr>
          </w:p>
        </w:tc>
      </w:tr>
      <w:tr>
        <w:trPr>
          <w:trHeight w:val="216"/>
        </w:trPr>
        <w:tc>
          <w:tcPr>
            <w:tcW w:w="338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Securities to be Registered</w:t>
            </w:r>
          </w:p>
        </w:tc>
        <w:tc>
          <w:tcPr>
            <w:tcW w:w="10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87"/>
              </w:rPr>
              <w:t>Registered</w:t>
            </w:r>
          </w:p>
        </w:tc>
        <w:tc>
          <w:tcPr>
            <w:tcW w:w="1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Aggregate Price Per Unit*</w:t>
            </w:r>
          </w:p>
        </w:tc>
        <w:tc>
          <w:tcPr>
            <w:tcW w:w="220" w:type="dxa"/>
            <w:vAlign w:val="bottom"/>
            <w:gridSpan w:val="2"/>
          </w:tcPr>
          <w:p>
            <w:pPr>
              <w:spacing w:after="0"/>
              <w:rPr>
                <w:sz w:val="18"/>
                <w:szCs w:val="18"/>
                <w:color w:val="auto"/>
              </w:rPr>
            </w:pPr>
          </w:p>
        </w:tc>
        <w:tc>
          <w:tcPr>
            <w:tcW w:w="17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3"/>
              </w:rPr>
              <w:t>Aggregate Offering</w:t>
            </w:r>
          </w:p>
        </w:tc>
        <w:tc>
          <w:tcPr>
            <w:tcW w:w="260" w:type="dxa"/>
            <w:vAlign w:val="bottom"/>
          </w:tcPr>
          <w:p>
            <w:pPr>
              <w:spacing w:after="0"/>
              <w:rPr>
                <w:sz w:val="18"/>
                <w:szCs w:val="18"/>
                <w:color w:val="auto"/>
              </w:rPr>
            </w:pPr>
          </w:p>
        </w:tc>
        <w:tc>
          <w:tcPr>
            <w:tcW w:w="1740" w:type="dxa"/>
            <w:vAlign w:val="bottom"/>
          </w:tcPr>
          <w:p>
            <w:pPr>
              <w:jc w:val="center"/>
              <w:ind w:right="170"/>
              <w:spacing w:after="0"/>
              <w:rPr>
                <w:sz w:val="20"/>
                <w:szCs w:val="20"/>
                <w:color w:val="auto"/>
              </w:rPr>
            </w:pPr>
            <w:r>
              <w:rPr>
                <w:rFonts w:ascii="Arial" w:cs="Arial" w:eastAsia="Arial" w:hAnsi="Arial"/>
                <w:sz w:val="18"/>
                <w:szCs w:val="18"/>
                <w:color w:val="auto"/>
                <w:w w:val="90"/>
              </w:rPr>
              <w:t>Registration Fee</w:t>
            </w:r>
          </w:p>
        </w:tc>
        <w:tc>
          <w:tcPr>
            <w:tcW w:w="0" w:type="dxa"/>
            <w:vAlign w:val="bottom"/>
          </w:tcPr>
          <w:p>
            <w:pPr>
              <w:spacing w:after="0"/>
              <w:rPr>
                <w:sz w:val="1"/>
                <w:szCs w:val="1"/>
                <w:color w:val="auto"/>
              </w:rPr>
            </w:pPr>
          </w:p>
        </w:tc>
      </w:tr>
      <w:tr>
        <w:trPr>
          <w:trHeight w:val="230"/>
        </w:trPr>
        <w:tc>
          <w:tcPr>
            <w:tcW w:w="33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8"/>
              </w:rPr>
              <w:t>Price**</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3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American Depositary Shares ("ADSs"), each</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two (2) ADSs representing one (1) ordinary</w:t>
            </w:r>
          </w:p>
        </w:tc>
        <w:tc>
          <w:tcPr>
            <w:tcW w:w="100" w:type="dxa"/>
            <w:vAlign w:val="bottom"/>
          </w:tcPr>
          <w:p>
            <w:pPr>
              <w:spacing w:after="0"/>
              <w:rPr>
                <w:sz w:val="18"/>
                <w:szCs w:val="18"/>
                <w:color w:val="auto"/>
              </w:rPr>
            </w:pP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100,000,000 American</w:t>
            </w:r>
          </w:p>
        </w:tc>
        <w:tc>
          <w:tcPr>
            <w:tcW w:w="1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$5.00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Borders>
              <w:right w:val="single" w:sz="8" w:color="auto"/>
            </w:tcBorders>
            <w:vMerge w:val="restart"/>
          </w:tcPr>
          <w:p>
            <w:pPr>
              <w:jc w:val="center"/>
              <w:ind w:right="150"/>
              <w:spacing w:after="0"/>
              <w:rPr>
                <w:sz w:val="20"/>
                <w:szCs w:val="20"/>
                <w:color w:val="auto"/>
              </w:rPr>
            </w:pPr>
            <w:r>
              <w:rPr>
                <w:rFonts w:ascii="Arial" w:cs="Arial" w:eastAsia="Arial" w:hAnsi="Arial"/>
                <w:sz w:val="18"/>
                <w:szCs w:val="18"/>
                <w:color w:val="auto"/>
                <w:w w:val="90"/>
              </w:rPr>
              <w:t>$5,000,000</w:t>
            </w:r>
          </w:p>
        </w:tc>
        <w:tc>
          <w:tcPr>
            <w:tcW w:w="260" w:type="dxa"/>
            <w:vAlign w:val="bottom"/>
          </w:tcPr>
          <w:p>
            <w:pPr>
              <w:spacing w:after="0"/>
              <w:rPr>
                <w:sz w:val="18"/>
                <w:szCs w:val="18"/>
                <w:color w:val="auto"/>
              </w:rPr>
            </w:pPr>
          </w:p>
        </w:tc>
        <w:tc>
          <w:tcPr>
            <w:tcW w:w="1740" w:type="dxa"/>
            <w:vAlign w:val="bottom"/>
            <w:vMerge w:val="restart"/>
          </w:tcPr>
          <w:p>
            <w:pPr>
              <w:jc w:val="center"/>
              <w:ind w:right="170"/>
              <w:spacing w:after="0"/>
              <w:rPr>
                <w:sz w:val="20"/>
                <w:szCs w:val="20"/>
                <w:color w:val="auto"/>
              </w:rPr>
            </w:pPr>
            <w:r>
              <w:rPr>
                <w:rFonts w:ascii="Arial" w:cs="Arial" w:eastAsia="Arial" w:hAnsi="Arial"/>
                <w:sz w:val="18"/>
                <w:szCs w:val="18"/>
                <w:color w:val="auto"/>
                <w:w w:val="92"/>
              </w:rPr>
              <w:t>$356.50</w:t>
            </w:r>
          </w:p>
        </w:tc>
        <w:tc>
          <w:tcPr>
            <w:tcW w:w="0" w:type="dxa"/>
            <w:vAlign w:val="bottom"/>
          </w:tcPr>
          <w:p>
            <w:pPr>
              <w:spacing w:after="0"/>
              <w:rPr>
                <w:sz w:val="1"/>
                <w:szCs w:val="1"/>
                <w:color w:val="auto"/>
              </w:rPr>
            </w:pPr>
          </w:p>
        </w:tc>
      </w:tr>
      <w:tr>
        <w:trPr>
          <w:trHeight w:val="126"/>
        </w:trPr>
        <w:tc>
          <w:tcPr>
            <w:tcW w:w="3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3"/>
              </w:rPr>
              <w:t>share</w:t>
            </w:r>
            <w:r>
              <w:rPr>
                <w:rFonts w:ascii="Arial" w:cs="Arial" w:eastAsia="Arial" w:hAnsi="Arial"/>
                <w:sz w:val="18"/>
                <w:szCs w:val="18"/>
                <w:b w:val="1"/>
                <w:bCs w:val="1"/>
                <w:color w:val="auto"/>
                <w:w w:val="93"/>
              </w:rPr>
              <w:t>,</w:t>
            </w:r>
            <w:r>
              <w:rPr>
                <w:rFonts w:ascii="Arial" w:cs="Arial" w:eastAsia="Arial" w:hAnsi="Arial"/>
                <w:sz w:val="18"/>
                <w:szCs w:val="18"/>
                <w:color w:val="auto"/>
                <w:w w:val="93"/>
              </w:rPr>
              <w:t xml:space="preserve"> par value $0.0005 per share, of Noah</w:t>
            </w:r>
          </w:p>
        </w:tc>
        <w:tc>
          <w:tcPr>
            <w:tcW w:w="100" w:type="dxa"/>
            <w:vAlign w:val="bottom"/>
          </w:tcPr>
          <w:p>
            <w:pPr>
              <w:spacing w:after="0"/>
              <w:rPr>
                <w:sz w:val="10"/>
                <w:szCs w:val="10"/>
                <w:color w:val="auto"/>
              </w:rPr>
            </w:pPr>
          </w:p>
        </w:tc>
        <w:tc>
          <w:tcPr>
            <w:tcW w:w="1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Depositary Shares</w:t>
            </w:r>
          </w:p>
        </w:tc>
        <w:tc>
          <w:tcPr>
            <w:tcW w:w="1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38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Holdings Limited</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3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represents 100 American Depositary Shares.</w:t>
      </w:r>
    </w:p>
    <w:p>
      <w:pPr>
        <w:spacing w:after="0" w:line="23" w:lineRule="exact"/>
        <w:rPr>
          <w:sz w:val="24"/>
          <w:szCs w:val="24"/>
          <w:color w:val="auto"/>
        </w:rPr>
      </w:pPr>
    </w:p>
    <w:p>
      <w:pPr>
        <w:ind w:left="340" w:right="36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457(k), such estimate is computed on the basis of the maximum aggregate fees or charges to be imposed in connection with the issuance of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8" w:lineRule="exact"/>
        <w:rPr>
          <w:sz w:val="24"/>
          <w:szCs w:val="24"/>
          <w:color w:val="auto"/>
        </w:rPr>
      </w:pPr>
    </w:p>
    <w:p>
      <w:pPr>
        <w:ind w:left="360" w:right="64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774" w:gutter="0" w:footer="0" w:header="0"/>
          <w:type w:val="continuous"/>
        </w:sectPr>
      </w:pPr>
    </w:p>
    <w:bookmarkStart w:id="1" w:name="page2"/>
    <w:bookmarkEnd w:id="1"/>
    <w:p>
      <w:pPr>
        <w:ind w:left="100" w:right="99"/>
        <w:spacing w:after="0" w:line="277" w:lineRule="auto"/>
        <w:rPr>
          <w:sz w:val="20"/>
          <w:szCs w:val="20"/>
          <w:color w:val="auto"/>
        </w:rPr>
      </w:pPr>
      <w:r>
        <w:rPr>
          <w:rFonts w:ascii="Arial" w:cs="Arial" w:eastAsia="Arial" w:hAnsi="Arial"/>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REQUIRED IN PROSPECTUS</w:t>
      </w:r>
    </w:p>
    <w:p>
      <w:pPr>
        <w:spacing w:after="0" w:line="25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Cross Reference Sheet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SECURITIES TO BE REGISTERED</w:t>
      </w:r>
    </w:p>
    <w:p>
      <w:pPr>
        <w:sectPr>
          <w:pgSz w:w="11900" w:h="16838" w:orient="portrait"/>
          <w:cols w:equalWidth="0" w:num="1">
            <w:col w:w="11280"/>
          </w:cols>
          <w:pgMar w:left="240" w:top="5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Number and Caption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0989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98925" cy="17145"/>
                    </a:xfrm>
                    <a:prstGeom prst="rect">
                      <a:avLst/>
                    </a:prstGeom>
                    <a:noFill/>
                  </pic:spPr>
                </pic:pic>
              </a:graphicData>
            </a:graphic>
          </wp:anchor>
        </w:drawing>
      </w:r>
    </w:p>
    <w:p>
      <w:pPr>
        <w:spacing w:after="0" w:line="236"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Depositary and address of its principal executive office</w:t>
      </w:r>
    </w:p>
    <w:p>
      <w:pPr>
        <w:spacing w:after="0" w:line="225" w:lineRule="exact"/>
        <w:rPr>
          <w:rFonts w:ascii="Arial" w:cs="Arial" w:eastAsia="Arial" w:hAnsi="Arial"/>
          <w:sz w:val="18"/>
          <w:szCs w:val="18"/>
          <w:color w:val="auto"/>
        </w:rPr>
      </w:pPr>
    </w:p>
    <w:p>
      <w:pPr>
        <w:ind w:left="420" w:right="2220" w:hanging="412"/>
        <w:spacing w:after="0" w:line="501"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Receipts and identity of deposited securities Terms of Deposit:</w:t>
      </w:r>
    </w:p>
    <w:p>
      <w:pPr>
        <w:ind w:left="860" w:hanging="447"/>
        <w:spacing w:after="0" w:line="277" w:lineRule="auto"/>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amount of deposited securities represented by one American Depositary Share ("ADSs")</w:t>
      </w:r>
    </w:p>
    <w:p>
      <w:pPr>
        <w:spacing w:after="0" w:line="170" w:lineRule="exact"/>
        <w:rPr>
          <w:rFonts w:ascii="Arial" w:cs="Arial" w:eastAsia="Arial" w:hAnsi="Arial"/>
          <w:sz w:val="18"/>
          <w:szCs w:val="18"/>
          <w:color w:val="auto"/>
        </w:rPr>
      </w:pPr>
    </w:p>
    <w:p>
      <w:pPr>
        <w:ind w:left="860" w:hanging="447"/>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procedure for voting, if any, the deposited securities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60" w:hanging="447"/>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collection and distribution of dividends</w:t>
      </w:r>
    </w:p>
    <w:p>
      <w:pPr>
        <w:spacing w:after="0" w:line="225" w:lineRule="exact"/>
        <w:rPr>
          <w:rFonts w:ascii="Arial" w:cs="Arial" w:eastAsia="Arial" w:hAnsi="Arial"/>
          <w:sz w:val="18"/>
          <w:szCs w:val="18"/>
          <w:color w:val="auto"/>
        </w:rPr>
      </w:pPr>
    </w:p>
    <w:p>
      <w:pPr>
        <w:ind w:left="860" w:hanging="447"/>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transmission of notices, reports and proxy soliciting material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60" w:hanging="447"/>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sale or exercise of rights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60" w:right="140" w:hanging="447"/>
        <w:spacing w:after="0" w:line="277" w:lineRule="auto"/>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deposit or sale of securities resulting from dividends, splits or plans of reorganization</w:t>
      </w:r>
    </w:p>
    <w:p>
      <w:pPr>
        <w:spacing w:after="0" w:line="170" w:lineRule="exact"/>
        <w:rPr>
          <w:rFonts w:ascii="Arial" w:cs="Arial" w:eastAsia="Arial" w:hAnsi="Arial"/>
          <w:sz w:val="18"/>
          <w:szCs w:val="18"/>
          <w:color w:val="auto"/>
        </w:rPr>
      </w:pPr>
    </w:p>
    <w:p>
      <w:pPr>
        <w:ind w:left="860" w:hanging="447"/>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Amendment, extension or termination of the deposit agreement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60" w:right="60" w:hanging="447"/>
        <w:spacing w:after="0" w:line="277" w:lineRule="auto"/>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Rights of holders of Receipts to inspect the transfer books of the Depositary and the list of holders of ADSs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 in Form of American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Receipt (“Receipt”)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Filed Herewith as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29927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92755"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Face of Receipt</w:t>
      </w:r>
      <w:r>
        <w:rPr>
          <w:rFonts w:ascii="Arial" w:cs="Arial" w:eastAsia="Arial" w:hAnsi="Arial"/>
          <w:sz w:val="18"/>
          <w:szCs w:val="18"/>
          <w:color w:val="auto"/>
        </w:rPr>
        <w:t xml:space="preserve"> - Introductory Article.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Face of Receipt</w:t>
      </w:r>
      <w:r>
        <w:rPr>
          <w:rFonts w:ascii="Arial" w:cs="Arial" w:eastAsia="Arial" w:hAnsi="Arial"/>
          <w:sz w:val="18"/>
          <w:szCs w:val="18"/>
          <w:color w:val="auto"/>
        </w:rPr>
        <w:t xml:space="preserve"> - Top Center.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Face of Receipt</w:t>
      </w:r>
      <w:r>
        <w:rPr>
          <w:rFonts w:ascii="Arial" w:cs="Arial" w:eastAsia="Arial" w:hAnsi="Arial"/>
          <w:sz w:val="18"/>
          <w:szCs w:val="18"/>
          <w:color w:val="auto"/>
        </w:rPr>
        <w:t xml:space="preserve"> - Upper right corner.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Reverse of Receipt</w:t>
      </w:r>
      <w:r>
        <w:rPr>
          <w:rFonts w:ascii="Arial" w:cs="Arial" w:eastAsia="Arial" w:hAnsi="Arial"/>
          <w:sz w:val="18"/>
          <w:szCs w:val="18"/>
          <w:color w:val="auto"/>
        </w:rPr>
        <w:t xml:space="preserve"> - Paragraphs (16)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Reverse of Receipt</w:t>
      </w:r>
      <w:r>
        <w:rPr>
          <w:rFonts w:ascii="Arial" w:cs="Arial" w:eastAsia="Arial" w:hAnsi="Arial"/>
          <w:sz w:val="18"/>
          <w:szCs w:val="18"/>
          <w:color w:val="auto"/>
        </w:rPr>
        <w:t xml:space="preserve"> - Paragraph (14).</w:t>
      </w:r>
    </w:p>
    <w:p>
      <w:pPr>
        <w:spacing w:after="0" w:line="225" w:lineRule="exact"/>
        <w:rPr>
          <w:sz w:val="20"/>
          <w:szCs w:val="20"/>
          <w:color w:val="auto"/>
        </w:rPr>
      </w:pPr>
    </w:p>
    <w:p>
      <w:pPr>
        <w:ind w:right="1940"/>
        <w:spacing w:after="0" w:line="342" w:lineRule="auto"/>
        <w:rPr>
          <w:sz w:val="20"/>
          <w:szCs w:val="20"/>
          <w:color w:val="auto"/>
        </w:rPr>
      </w:pPr>
      <w:r>
        <w:rPr>
          <w:rFonts w:ascii="Arial" w:cs="Arial" w:eastAsia="Arial" w:hAnsi="Arial"/>
          <w:sz w:val="16"/>
          <w:szCs w:val="16"/>
          <w:u w:val="single" w:color="auto"/>
          <w:color w:val="auto"/>
        </w:rPr>
        <w:t>Face of Receipt</w:t>
      </w:r>
      <w:r>
        <w:rPr>
          <w:rFonts w:ascii="Arial" w:cs="Arial" w:eastAsia="Arial" w:hAnsi="Arial"/>
          <w:sz w:val="16"/>
          <w:szCs w:val="16"/>
          <w:color w:val="auto"/>
        </w:rPr>
        <w:t xml:space="preserve"> - Paragraph (13); </w:t>
      </w:r>
      <w:r>
        <w:rPr>
          <w:rFonts w:ascii="Arial" w:cs="Arial" w:eastAsia="Arial" w:hAnsi="Arial"/>
          <w:sz w:val="16"/>
          <w:szCs w:val="16"/>
          <w:u w:val="single" w:color="auto"/>
          <w:color w:val="auto"/>
        </w:rPr>
        <w:t>Reverse of Receipt</w:t>
      </w:r>
      <w:r>
        <w:rPr>
          <w:rFonts w:ascii="Arial" w:cs="Arial" w:eastAsia="Arial" w:hAnsi="Arial"/>
          <w:sz w:val="16"/>
          <w:szCs w:val="16"/>
          <w:color w:val="auto"/>
        </w:rPr>
        <w:t xml:space="preserve"> - Paragraph (16).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Reverse of Receipt</w:t>
      </w:r>
      <w:r>
        <w:rPr>
          <w:rFonts w:ascii="Arial" w:cs="Arial" w:eastAsia="Arial" w:hAnsi="Arial"/>
          <w:sz w:val="18"/>
          <w:szCs w:val="18"/>
          <w:color w:val="auto"/>
        </w:rPr>
        <w:t xml:space="preserve"> – Paragraphs (14)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(16).</w:t>
      </w:r>
    </w:p>
    <w:p>
      <w:pPr>
        <w:spacing w:after="0" w:line="211" w:lineRule="exact"/>
        <w:rPr>
          <w:sz w:val="20"/>
          <w:szCs w:val="20"/>
          <w:color w:val="auto"/>
        </w:rPr>
      </w:pPr>
    </w:p>
    <w:p>
      <w:pPr>
        <w:ind w:right="1220"/>
        <w:spacing w:after="0" w:line="342" w:lineRule="auto"/>
        <w:rPr>
          <w:sz w:val="20"/>
          <w:szCs w:val="20"/>
          <w:color w:val="auto"/>
        </w:rPr>
      </w:pPr>
      <w:r>
        <w:rPr>
          <w:rFonts w:ascii="Arial" w:cs="Arial" w:eastAsia="Arial" w:hAnsi="Arial"/>
          <w:sz w:val="16"/>
          <w:szCs w:val="16"/>
          <w:u w:val="single" w:color="auto"/>
          <w:color w:val="auto"/>
        </w:rPr>
        <w:t>Face of Receipt</w:t>
      </w:r>
      <w:r>
        <w:rPr>
          <w:rFonts w:ascii="Arial" w:cs="Arial" w:eastAsia="Arial" w:hAnsi="Arial"/>
          <w:sz w:val="16"/>
          <w:szCs w:val="16"/>
          <w:color w:val="auto"/>
        </w:rPr>
        <w:t xml:space="preserve"> - Paragraphs (3) and (6); </w:t>
      </w:r>
      <w:r>
        <w:rPr>
          <w:rFonts w:ascii="Arial" w:cs="Arial" w:eastAsia="Arial" w:hAnsi="Arial"/>
          <w:sz w:val="16"/>
          <w:szCs w:val="16"/>
          <w:u w:val="single" w:color="auto"/>
          <w:color w:val="auto"/>
        </w:rPr>
        <w:t>Reverse of Receipt</w:t>
      </w:r>
      <w:r>
        <w:rPr>
          <w:rFonts w:ascii="Arial" w:cs="Arial" w:eastAsia="Arial" w:hAnsi="Arial"/>
          <w:sz w:val="16"/>
          <w:szCs w:val="16"/>
          <w:color w:val="auto"/>
        </w:rPr>
        <w:t xml:space="preserve"> - Paragraphs (14) and (18).</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Reverse of Receipt</w:t>
      </w:r>
      <w:r>
        <w:rPr>
          <w:rFonts w:ascii="Arial" w:cs="Arial" w:eastAsia="Arial" w:hAnsi="Arial"/>
          <w:sz w:val="18"/>
          <w:szCs w:val="18"/>
          <w:color w:val="auto"/>
        </w:rPr>
        <w:t xml:space="preserve"> - Paragraphs (22) and (23) (no provision for extensions).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Face of Receipt</w:t>
      </w:r>
      <w:r>
        <w:rPr>
          <w:rFonts w:ascii="Arial" w:cs="Arial" w:eastAsia="Arial" w:hAnsi="Arial"/>
          <w:sz w:val="18"/>
          <w:szCs w:val="18"/>
          <w:color w:val="auto"/>
        </w:rPr>
        <w:t xml:space="preserve"> - Paragraph (13).</w:t>
      </w:r>
    </w:p>
    <w:p>
      <w:pPr>
        <w:spacing w:after="0" w:line="470" w:lineRule="exact"/>
        <w:rPr>
          <w:sz w:val="20"/>
          <w:szCs w:val="20"/>
          <w:color w:val="auto"/>
        </w:rPr>
      </w:pPr>
    </w:p>
    <w:p>
      <w:pPr>
        <w:sectPr>
          <w:pgSz w:w="11900" w:h="16838" w:orient="portrait"/>
          <w:cols w:equalWidth="0" w:num="2">
            <w:col w:w="6380" w:space="320"/>
            <w:col w:w="4580"/>
          </w:cols>
          <w:pgMar w:left="240" w:top="513" w:right="379" w:bottom="1440" w:gutter="0" w:footer="0" w:header="0"/>
          <w:type w:val="continuous"/>
        </w:sectPr>
      </w:pP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3" w:right="3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Location in Form of American</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Depositary Receipt (“Receipt”)</w:t>
            </w:r>
          </w:p>
        </w:tc>
        <w:tc>
          <w:tcPr>
            <w:tcW w:w="0" w:type="dxa"/>
            <w:vAlign w:val="bottom"/>
          </w:tcPr>
          <w:p>
            <w:pPr>
              <w:spacing w:after="0"/>
              <w:rPr>
                <w:sz w:val="1"/>
                <w:szCs w:val="1"/>
                <w:color w:val="auto"/>
              </w:rPr>
            </w:pPr>
          </w:p>
        </w:tc>
      </w:tr>
      <w:tr>
        <w:trPr>
          <w:trHeight w:val="241"/>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 Number and Caption</w:t>
            </w:r>
          </w:p>
        </w:tc>
        <w:tc>
          <w:tcPr>
            <w:tcW w:w="240" w:type="dxa"/>
            <w:vAlign w:val="bottom"/>
          </w:tcPr>
          <w:p>
            <w:pPr>
              <w:spacing w:after="0"/>
              <w:rPr>
                <w:sz w:val="20"/>
                <w:szCs w:val="20"/>
                <w:color w:val="auto"/>
              </w:rPr>
            </w:pPr>
          </w:p>
        </w:tc>
        <w:tc>
          <w:tcPr>
            <w:tcW w:w="4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Filed Herewith as Prospectus</w:t>
            </w:r>
          </w:p>
        </w:tc>
        <w:tc>
          <w:tcPr>
            <w:tcW w:w="0" w:type="dxa"/>
            <w:vAlign w:val="bottom"/>
          </w:tcPr>
          <w:p>
            <w:pPr>
              <w:spacing w:after="0"/>
              <w:rPr>
                <w:sz w:val="1"/>
                <w:szCs w:val="1"/>
                <w:color w:val="auto"/>
              </w:rPr>
            </w:pPr>
          </w:p>
        </w:tc>
      </w:tr>
      <w:tr>
        <w:trPr>
          <w:trHeight w:val="392"/>
        </w:trPr>
        <w:tc>
          <w:tcPr>
            <w:tcW w:w="6460" w:type="dxa"/>
            <w:vAlign w:val="bottom"/>
          </w:tcPr>
          <w:p>
            <w:pPr>
              <w:ind w:left="400"/>
              <w:spacing w:after="0"/>
              <w:rPr>
                <w:sz w:val="20"/>
                <w:szCs w:val="20"/>
                <w:color w:val="auto"/>
              </w:rPr>
            </w:pPr>
            <w:r>
              <w:rPr>
                <w:rFonts w:ascii="Arial" w:cs="Arial" w:eastAsia="Arial" w:hAnsi="Arial"/>
                <w:sz w:val="18"/>
                <w:szCs w:val="18"/>
                <w:color w:val="auto"/>
                <w:w w:val="96"/>
              </w:rPr>
              <w:t>(ix)   Restrictions upon the right to deposit or withdraw the underlying securities</w:t>
            </w:r>
          </w:p>
        </w:tc>
        <w:tc>
          <w:tcPr>
            <w:tcW w:w="240" w:type="dxa"/>
            <w:vAlign w:val="bottom"/>
          </w:tcPr>
          <w:p>
            <w:pPr>
              <w:spacing w:after="0"/>
              <w:rPr>
                <w:sz w:val="24"/>
                <w:szCs w:val="24"/>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w w:val="93"/>
              </w:rPr>
              <w:t>Face of Receipt – Paragraphs (2), (3), (4), (6), (7), (9) and (10).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60" w:type="dxa"/>
            <w:vAlign w:val="bottom"/>
          </w:tcPr>
          <w:p>
            <w:pPr>
              <w:ind w:left="400"/>
              <w:spacing w:after="0"/>
              <w:rPr>
                <w:sz w:val="20"/>
                <w:szCs w:val="20"/>
                <w:color w:val="auto"/>
              </w:rPr>
            </w:pPr>
            <w:r>
              <w:rPr>
                <w:rFonts w:ascii="Arial" w:cs="Arial" w:eastAsia="Arial" w:hAnsi="Arial"/>
                <w:sz w:val="18"/>
                <w:szCs w:val="18"/>
                <w:color w:val="auto"/>
              </w:rPr>
              <w:t>(x)   Limitation upon the liability of the Depositary</w:t>
            </w:r>
          </w:p>
        </w:tc>
        <w:tc>
          <w:tcPr>
            <w:tcW w:w="240" w:type="dxa"/>
            <w:vAlign w:val="bottom"/>
          </w:tcPr>
          <w:p>
            <w:pPr>
              <w:spacing w:after="0"/>
              <w:rPr>
                <w:sz w:val="24"/>
                <w:szCs w:val="24"/>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Face of Receipt - Paragraph (7);</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20" w:type="dxa"/>
            <w:vAlign w:val="bottom"/>
            <w:gridSpan w:val="3"/>
          </w:tcPr>
          <w:p>
            <w:pPr>
              <w:spacing w:after="0" w:line="196" w:lineRule="exact"/>
              <w:rPr>
                <w:sz w:val="20"/>
                <w:szCs w:val="20"/>
                <w:color w:val="auto"/>
              </w:rPr>
            </w:pPr>
            <w:r>
              <w:rPr>
                <w:rFonts w:ascii="Arial" w:cs="Arial" w:eastAsia="Arial" w:hAnsi="Arial"/>
                <w:sz w:val="18"/>
                <w:szCs w:val="18"/>
                <w:color w:val="auto"/>
              </w:rPr>
              <w:t>Reverse of Receipt - Paragraphs (19) and (20).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60" w:type="dxa"/>
            <w:vAlign w:val="bottom"/>
          </w:tcPr>
          <w:p>
            <w:pPr>
              <w:spacing w:after="0"/>
              <w:rPr>
                <w:sz w:val="20"/>
                <w:szCs w:val="20"/>
                <w:color w:val="auto"/>
              </w:rPr>
            </w:pPr>
            <w:r>
              <w:rPr>
                <w:rFonts w:ascii="Arial" w:cs="Arial" w:eastAsia="Arial" w:hAnsi="Arial"/>
                <w:sz w:val="18"/>
                <w:szCs w:val="18"/>
                <w:color w:val="auto"/>
                <w:w w:val="94"/>
              </w:rPr>
              <w:t>3.   Fees and charges which may be imposed directly or indirectly on holders of ADSs</w:t>
            </w:r>
          </w:p>
        </w:tc>
        <w:tc>
          <w:tcPr>
            <w:tcW w:w="240" w:type="dxa"/>
            <w:vAlign w:val="bottom"/>
          </w:tcPr>
          <w:p>
            <w:pPr>
              <w:spacing w:after="0"/>
              <w:rPr>
                <w:sz w:val="24"/>
                <w:szCs w:val="24"/>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Face of Receipt - Paragraph (10).</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Item 2. AVAILABLE INFORMATION</w:t>
            </w: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Face of Receipt - Paragraph (13).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u w:val="single" w:color="auto"/>
          <w:color w:val="auto"/>
        </w:rPr>
        <w:t>PROSPECTUS</w:t>
      </w:r>
    </w:p>
    <w:p>
      <w:pPr>
        <w:spacing w:after="0" w:line="256" w:lineRule="exact"/>
        <w:rPr>
          <w:sz w:val="20"/>
          <w:szCs w:val="20"/>
          <w:color w:val="auto"/>
        </w:rPr>
      </w:pPr>
    </w:p>
    <w:p>
      <w:pPr>
        <w:ind w:left="100" w:right="559"/>
        <w:spacing w:after="0" w:line="264" w:lineRule="auto"/>
        <w:rPr>
          <w:sz w:val="20"/>
          <w:szCs w:val="20"/>
          <w:color w:val="auto"/>
        </w:rPr>
      </w:pPr>
      <w:r>
        <w:rPr>
          <w:rFonts w:ascii="Arial" w:cs="Arial" w:eastAsia="Arial" w:hAnsi="Arial"/>
          <w:sz w:val="18"/>
          <w:szCs w:val="18"/>
          <w:color w:val="auto"/>
        </w:rPr>
        <w:t>The Prospectus consists of the proposed form of American Depositary Receipt included as Exhibit A to the Form of Deposit Agreement filed as Exhibit (a) to this Registration Statement on Form F-6 and is incorporated herein by reference.</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EXHIBITS</w:t>
      </w:r>
    </w:p>
    <w:p>
      <w:pPr>
        <w:spacing w:after="0" w:line="256" w:lineRule="exact"/>
        <w:rPr>
          <w:sz w:val="20"/>
          <w:szCs w:val="20"/>
          <w:color w:val="auto"/>
        </w:rPr>
      </w:pPr>
    </w:p>
    <w:p>
      <w:pPr>
        <w:jc w:val="both"/>
        <w:ind w:left="1300" w:hanging="644"/>
        <w:spacing w:after="0" w:line="291"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Form of Deposit Agreement, by and among Noah Holdings Limited (the “Company”), Citibank, N.A., as depositary (the “Depositary”), and all Holders and Beneficial Owners of American Depositary Shares issued thereunder (“Deposit Agreement”). — Filed herewith as Exhibit</w:t>
      </w:r>
    </w:p>
    <w:p>
      <w:pPr>
        <w:ind w:left="1300"/>
        <w:spacing w:after="0"/>
        <w:rPr>
          <w:rFonts w:ascii="Arial" w:cs="Arial" w:eastAsia="Arial" w:hAnsi="Arial"/>
          <w:sz w:val="16"/>
          <w:szCs w:val="16"/>
          <w:color w:val="auto"/>
        </w:rPr>
      </w:pPr>
      <w:r>
        <w:rPr>
          <w:rFonts w:ascii="Arial" w:cs="Arial" w:eastAsia="Arial" w:hAnsi="Arial"/>
          <w:sz w:val="18"/>
          <w:szCs w:val="18"/>
          <w:color w:val="auto"/>
        </w:rPr>
        <w:t>(a).</w:t>
      </w:r>
    </w:p>
    <w:p>
      <w:pPr>
        <w:spacing w:after="0" w:line="237" w:lineRule="exact"/>
        <w:rPr>
          <w:rFonts w:ascii="Arial" w:cs="Arial" w:eastAsia="Arial" w:hAnsi="Arial"/>
          <w:sz w:val="16"/>
          <w:szCs w:val="16"/>
          <w:color w:val="auto"/>
        </w:rPr>
      </w:pPr>
    </w:p>
    <w:p>
      <w:pPr>
        <w:ind w:left="1300" w:right="140" w:hanging="644"/>
        <w:spacing w:after="0" w:line="282"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Any other agreement to which the Depositary is a party relating to the issuance of the American Depositary Shares registered hereunder or the custody of the deposited securities represented thereby.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None.</w:t>
      </w:r>
    </w:p>
    <w:p>
      <w:pPr>
        <w:spacing w:after="0" w:line="94" w:lineRule="exact"/>
        <w:rPr>
          <w:rFonts w:ascii="Arial" w:cs="Arial" w:eastAsia="Arial" w:hAnsi="Arial"/>
          <w:sz w:val="18"/>
          <w:szCs w:val="18"/>
          <w:color w:val="auto"/>
        </w:rPr>
      </w:pPr>
    </w:p>
    <w:p>
      <w:pPr>
        <w:ind w:left="1300" w:right="100" w:hanging="644"/>
        <w:spacing w:after="0" w:line="282"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Every material contract relating to the deposited securities between the Depositary and the issuer of the deposited securities in effect at any time within the last three years.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None.</w:t>
      </w:r>
    </w:p>
    <w:p>
      <w:pPr>
        <w:spacing w:after="0" w:line="94"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Opinion of counsel for the Depositary as to the legality of the securities to be registered.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Filed herewith as Exhibit (d).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Certificate under Rule 466.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None.</w:t>
      </w:r>
    </w:p>
    <w:p>
      <w:pPr>
        <w:spacing w:after="0" w:line="17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Powers of Attorney for certain officers and directors and the authorized representative of the Company. — Set forth on the signature pages hereto.</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4. UNDERTAKINGS</w:t>
      </w:r>
    </w:p>
    <w:p>
      <w:pPr>
        <w:spacing w:after="0" w:line="256" w:lineRule="exact"/>
        <w:rPr>
          <w:sz w:val="20"/>
          <w:szCs w:val="20"/>
          <w:color w:val="auto"/>
        </w:rPr>
      </w:pPr>
    </w:p>
    <w:p>
      <w:pPr>
        <w:ind w:left="1300" w:hanging="644"/>
        <w:spacing w:after="0" w:line="31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3" w:lineRule="exact"/>
        <w:rPr>
          <w:rFonts w:ascii="Arial" w:cs="Arial" w:eastAsia="Arial" w:hAnsi="Arial"/>
          <w:sz w:val="16"/>
          <w:szCs w:val="16"/>
          <w:color w:val="auto"/>
        </w:rPr>
      </w:pPr>
    </w:p>
    <w:p>
      <w:pPr>
        <w:ind w:left="1300" w:right="40" w:hanging="644"/>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Pursuant to the requirements of the Securities Act of 1933, as amended, Citibank, N.A., acting solely on behalf of the legal entity to be created by the Deposit Agreement, by and among Noah Holdings Limited, Citibank, N.A., as depositary, and all Holders and Beneficial Owners of American Depositary Shares to be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27th day of October, 2010.</w:t>
      </w:r>
    </w:p>
    <w:p>
      <w:pPr>
        <w:spacing w:after="0" w:line="215" w:lineRule="exact"/>
        <w:rPr>
          <w:sz w:val="20"/>
          <w:szCs w:val="20"/>
          <w:color w:val="auto"/>
        </w:rPr>
      </w:pPr>
    </w:p>
    <w:p>
      <w:pPr>
        <w:ind w:left="5420" w:right="260"/>
        <w:spacing w:after="0" w:line="259" w:lineRule="auto"/>
        <w:rPr>
          <w:sz w:val="20"/>
          <w:szCs w:val="20"/>
          <w:color w:val="auto"/>
        </w:rPr>
      </w:pPr>
      <w:r>
        <w:rPr>
          <w:rFonts w:ascii="Arial" w:cs="Arial" w:eastAsia="Arial" w:hAnsi="Arial"/>
          <w:sz w:val="18"/>
          <w:szCs w:val="18"/>
          <w:color w:val="auto"/>
        </w:rPr>
        <w:t>Legal entity to be created by the Deposit Agreement under which the American Depositary Shares registered hereunder are to be issued, each two (2) American Depositary Shares representing one (1) ordinary share, par value $0.0005 per share, of Noah Holdings Limited</w:t>
      </w:r>
    </w:p>
    <w:p>
      <w:pPr>
        <w:spacing w:after="0" w:line="18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CITIBANK, N.A., solely in its capacity as Depositary</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Thomas Crane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23495</wp:posOffset>
            </wp:positionV>
            <wp:extent cx="27787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7876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Thomas Crane</w:t>
      </w:r>
    </w:p>
    <w:p>
      <w:pPr>
        <w:spacing w:after="0" w:line="23" w:lineRule="exact"/>
        <w:rPr>
          <w:sz w:val="20"/>
          <w:szCs w:val="20"/>
          <w:color w:val="auto"/>
        </w:rPr>
      </w:pPr>
    </w:p>
    <w:p>
      <w:pPr>
        <w:ind w:left="5740"/>
        <w:spacing w:after="0"/>
        <w:tabs>
          <w:tab w:leader="none" w:pos="6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ind w:right="-2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5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Noah Holdings Limited certifies that it has reasonable grounds to believe that all the requirements for filing on Form F-6 are met and has duly caused this Registration Statement on Form F-6 to be signed on its behalf by the undersigned thereunto duly authorized, in Shanghai, China, on October 27, 2010.</w:t>
      </w:r>
    </w:p>
    <w:p>
      <w:pPr>
        <w:spacing w:after="0" w:line="20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NOAH HOLDINGS LIMITED</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Jingbo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282130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Jingbo Wang</w:t>
      </w:r>
    </w:p>
    <w:p>
      <w:pPr>
        <w:spacing w:after="0" w:line="23" w:lineRule="exact"/>
        <w:rPr>
          <w:sz w:val="20"/>
          <w:szCs w:val="20"/>
          <w:color w:val="auto"/>
        </w:rPr>
      </w:pPr>
    </w:p>
    <w:p>
      <w:pPr>
        <w:ind w:left="568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513" w:right="5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POWERS OF ATTORNEY</w:t>
      </w:r>
    </w:p>
    <w:p>
      <w:pPr>
        <w:spacing w:after="0" w:line="252"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Jingbo Wang and Tao</w:t>
      </w:r>
      <w:r>
        <w:rPr>
          <w:rFonts w:ascii="Arial" w:cs="Arial" w:eastAsia="Arial" w:hAnsi="Arial"/>
          <w:sz w:val="17"/>
          <w:szCs w:val="17"/>
          <w:b w:val="1"/>
          <w:bCs w:val="1"/>
          <w:color w:val="auto"/>
        </w:rPr>
        <w:t xml:space="preserve"> </w:t>
      </w:r>
      <w:r>
        <w:rPr>
          <w:rFonts w:ascii="Arial" w:cs="Arial" w:eastAsia="Arial" w:hAnsi="Arial"/>
          <w:sz w:val="17"/>
          <w:szCs w:val="17"/>
          <w:color w:val="auto"/>
        </w:rPr>
        <w:t>Thomas Wu, each of them, his or her true and lawful attorney-in-fact and agents, each with full power of substitution, for him and in his name, place and stead, in any and all such capacities, to sign any and all amendments (including post-effective amendments) to this Registration Statement and any and all related registration statements pursuant to Rule 462(b) of the Securities Act of 1933, as amended, and to file the same, with all exhibits thereto and other documents in connection therewith, with the Securities and Exchange Commission, hereby ratifying and confirming all that said attorney-in-fact and agents, or any of them, or their substitute or subst itutes, may lawfully do or cause to be done by virtue hereof.</w:t>
      </w:r>
    </w:p>
    <w:p>
      <w:pPr>
        <w:spacing w:after="0" w:line="2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F-6 has been signed by the following persons in the following capacities and on the date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1500" w:type="dxa"/>
            <w:vAlign w:val="bottom"/>
          </w:tcPr>
          <w:p>
            <w:pPr>
              <w:spacing w:after="0"/>
              <w:rPr>
                <w:sz w:val="17"/>
                <w:szCs w:val="17"/>
                <w:color w:val="auto"/>
              </w:rPr>
            </w:pPr>
          </w:p>
        </w:tc>
        <w:tc>
          <w:tcPr>
            <w:tcW w:w="4760" w:type="dxa"/>
            <w:vAlign w:val="bottom"/>
            <w:gridSpan w:val="3"/>
          </w:tcPr>
          <w:p>
            <w:pPr>
              <w:jc w:val="center"/>
              <w:ind w:left="111"/>
              <w:spacing w:after="0"/>
              <w:rPr>
                <w:sz w:val="20"/>
                <w:szCs w:val="20"/>
                <w:color w:val="auto"/>
              </w:rPr>
            </w:pPr>
            <w:r>
              <w:rPr>
                <w:rFonts w:ascii="Arial" w:cs="Arial" w:eastAsia="Arial" w:hAnsi="Arial"/>
                <w:sz w:val="18"/>
                <w:szCs w:val="18"/>
                <w:b w:val="1"/>
                <w:bCs w:val="1"/>
                <w:color w:val="auto"/>
                <w:w w:val="97"/>
              </w:rPr>
              <w:t>Title</w:t>
            </w:r>
          </w:p>
        </w:tc>
        <w:tc>
          <w:tcPr>
            <w:tcW w:w="290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60"/>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Jingbo Wang</w:t>
            </w:r>
          </w:p>
        </w:tc>
        <w:tc>
          <w:tcPr>
            <w:tcW w:w="7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760" w:type="dxa"/>
            <w:vAlign w:val="bottom"/>
            <w:gridSpan w:val="3"/>
          </w:tcPr>
          <w:p>
            <w:pPr>
              <w:jc w:val="center"/>
              <w:ind w:left="91"/>
              <w:spacing w:after="0"/>
              <w:rPr>
                <w:sz w:val="20"/>
                <w:szCs w:val="20"/>
                <w:color w:val="auto"/>
              </w:rPr>
            </w:pPr>
            <w:r>
              <w:rPr>
                <w:rFonts w:ascii="Arial" w:cs="Arial" w:eastAsia="Arial" w:hAnsi="Arial"/>
                <w:sz w:val="18"/>
                <w:szCs w:val="18"/>
                <w:color w:val="auto"/>
                <w:w w:val="92"/>
              </w:rPr>
              <w:t>Chairman of the Board of</w:t>
            </w:r>
          </w:p>
        </w:tc>
        <w:tc>
          <w:tcPr>
            <w:tcW w:w="290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October 27, 2010</w:t>
            </w:r>
          </w:p>
        </w:tc>
      </w:tr>
      <w:tr>
        <w:trPr>
          <w:trHeight w:val="202"/>
        </w:trPr>
        <w:tc>
          <w:tcPr>
            <w:tcW w:w="3760" w:type="dxa"/>
            <w:vAlign w:val="bottom"/>
            <w:gridSpan w:val="3"/>
          </w:tcPr>
          <w:p>
            <w:pPr>
              <w:spacing w:after="0" w:line="201" w:lineRule="exact"/>
              <w:rPr>
                <w:sz w:val="20"/>
                <w:szCs w:val="20"/>
                <w:color w:val="auto"/>
              </w:rPr>
            </w:pPr>
            <w:r>
              <w:rPr>
                <w:rFonts w:ascii="Arial" w:cs="Arial" w:eastAsia="Arial" w:hAnsi="Arial"/>
                <w:sz w:val="18"/>
                <w:szCs w:val="18"/>
                <w:color w:val="auto"/>
              </w:rPr>
              <w:t>Jingbo Wang</w:t>
            </w:r>
          </w:p>
        </w:tc>
        <w:tc>
          <w:tcPr>
            <w:tcW w:w="4760" w:type="dxa"/>
            <w:vAlign w:val="bottom"/>
            <w:gridSpan w:val="3"/>
          </w:tcPr>
          <w:p>
            <w:pPr>
              <w:jc w:val="center"/>
              <w:ind w:left="91"/>
              <w:spacing w:after="0" w:line="201" w:lineRule="exact"/>
              <w:rPr>
                <w:sz w:val="20"/>
                <w:szCs w:val="20"/>
                <w:color w:val="auto"/>
              </w:rPr>
            </w:pPr>
            <w:r>
              <w:rPr>
                <w:rFonts w:ascii="Arial" w:cs="Arial" w:eastAsia="Arial" w:hAnsi="Arial"/>
                <w:sz w:val="18"/>
                <w:szCs w:val="18"/>
                <w:color w:val="auto"/>
                <w:w w:val="91"/>
              </w:rPr>
              <w:t>Directors and</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6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Chief Executive Officer</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760" w:type="dxa"/>
            <w:vAlign w:val="bottom"/>
            <w:gridSpan w:val="3"/>
          </w:tcPr>
          <w:p>
            <w:pPr>
              <w:jc w:val="center"/>
              <w:ind w:left="91"/>
              <w:spacing w:after="0"/>
              <w:rPr>
                <w:sz w:val="20"/>
                <w:szCs w:val="20"/>
                <w:color w:val="auto"/>
              </w:rPr>
            </w:pPr>
            <w:r>
              <w:rPr>
                <w:rFonts w:ascii="Arial" w:cs="Arial" w:eastAsia="Arial" w:hAnsi="Arial"/>
                <w:sz w:val="18"/>
                <w:szCs w:val="18"/>
                <w:color w:val="auto"/>
                <w:w w:val="94"/>
              </w:rPr>
              <w:t>(principal executive officer)</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9"/>
        </w:trPr>
        <w:tc>
          <w:tcPr>
            <w:tcW w:w="3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Tao Thomas Wu</w:t>
            </w:r>
          </w:p>
        </w:tc>
        <w:tc>
          <w:tcPr>
            <w:tcW w:w="476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Chief Financial Officer</w:t>
            </w:r>
          </w:p>
        </w:tc>
        <w:tc>
          <w:tcPr>
            <w:tcW w:w="290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October 27, 2010</w:t>
            </w:r>
          </w:p>
        </w:tc>
      </w:tr>
      <w:tr>
        <w:trPr>
          <w:trHeight w:val="202"/>
        </w:trPr>
        <w:tc>
          <w:tcPr>
            <w:tcW w:w="3760" w:type="dxa"/>
            <w:vAlign w:val="bottom"/>
            <w:gridSpan w:val="3"/>
          </w:tcPr>
          <w:p>
            <w:pPr>
              <w:spacing w:after="0" w:line="201" w:lineRule="exact"/>
              <w:rPr>
                <w:sz w:val="20"/>
                <w:szCs w:val="20"/>
                <w:color w:val="auto"/>
              </w:rPr>
            </w:pPr>
            <w:r>
              <w:rPr>
                <w:rFonts w:ascii="Arial" w:cs="Arial" w:eastAsia="Arial" w:hAnsi="Arial"/>
                <w:sz w:val="18"/>
                <w:szCs w:val="18"/>
                <w:color w:val="auto"/>
              </w:rPr>
              <w:t>Tao Thomas Wu</w:t>
            </w:r>
          </w:p>
        </w:tc>
        <w:tc>
          <w:tcPr>
            <w:tcW w:w="4760" w:type="dxa"/>
            <w:vAlign w:val="bottom"/>
            <w:gridSpan w:val="3"/>
          </w:tcPr>
          <w:p>
            <w:pPr>
              <w:jc w:val="center"/>
              <w:ind w:left="111"/>
              <w:spacing w:after="0" w:line="201" w:lineRule="exact"/>
              <w:rPr>
                <w:sz w:val="20"/>
                <w:szCs w:val="20"/>
                <w:color w:val="auto"/>
              </w:rPr>
            </w:pPr>
            <w:r>
              <w:rPr>
                <w:rFonts w:ascii="Arial" w:cs="Arial" w:eastAsia="Arial" w:hAnsi="Arial"/>
                <w:sz w:val="18"/>
                <w:szCs w:val="18"/>
                <w:color w:val="auto"/>
                <w:w w:val="93"/>
              </w:rPr>
              <w:t>(principal financial and</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1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760" w:type="dxa"/>
            <w:vAlign w:val="bottom"/>
            <w:gridSpan w:val="3"/>
          </w:tcPr>
          <w:p>
            <w:pPr>
              <w:jc w:val="center"/>
              <w:ind w:left="91"/>
              <w:spacing w:after="0"/>
              <w:rPr>
                <w:sz w:val="20"/>
                <w:szCs w:val="20"/>
                <w:color w:val="auto"/>
              </w:rPr>
            </w:pPr>
            <w:r>
              <w:rPr>
                <w:rFonts w:ascii="Arial" w:cs="Arial" w:eastAsia="Arial" w:hAnsi="Arial"/>
                <w:sz w:val="18"/>
                <w:szCs w:val="18"/>
                <w:color w:val="auto"/>
                <w:w w:val="93"/>
              </w:rPr>
              <w:t>accounting officer)</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655"/>
        </w:trPr>
        <w:tc>
          <w:tcPr>
            <w:tcW w:w="3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Zhe Yin</w:t>
            </w:r>
          </w:p>
        </w:tc>
        <w:tc>
          <w:tcPr>
            <w:tcW w:w="476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290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October 27, 2010</w:t>
            </w:r>
          </w:p>
        </w:tc>
      </w:tr>
      <w:tr>
        <w:trPr>
          <w:trHeight w:val="230"/>
        </w:trPr>
        <w:tc>
          <w:tcPr>
            <w:tcW w:w="3760" w:type="dxa"/>
            <w:vAlign w:val="bottom"/>
            <w:gridSpan w:val="3"/>
          </w:tcPr>
          <w:p>
            <w:pPr>
              <w:spacing w:after="0"/>
              <w:rPr>
                <w:sz w:val="20"/>
                <w:szCs w:val="20"/>
                <w:color w:val="auto"/>
              </w:rPr>
            </w:pPr>
            <w:r>
              <w:rPr>
                <w:rFonts w:ascii="Arial" w:cs="Arial" w:eastAsia="Arial" w:hAnsi="Arial"/>
                <w:sz w:val="18"/>
                <w:szCs w:val="18"/>
                <w:color w:val="auto"/>
              </w:rPr>
              <w:t>Zhe Yin</w:t>
            </w: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25"/>
        </w:trPr>
        <w:tc>
          <w:tcPr>
            <w:tcW w:w="3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Boquan He</w:t>
            </w:r>
          </w:p>
        </w:tc>
        <w:tc>
          <w:tcPr>
            <w:tcW w:w="476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290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October 27, 2010</w:t>
            </w:r>
          </w:p>
        </w:tc>
      </w:tr>
      <w:tr>
        <w:trPr>
          <w:trHeight w:val="230"/>
        </w:trPr>
        <w:tc>
          <w:tcPr>
            <w:tcW w:w="3760" w:type="dxa"/>
            <w:vAlign w:val="bottom"/>
            <w:gridSpan w:val="3"/>
          </w:tcPr>
          <w:p>
            <w:pPr>
              <w:spacing w:after="0"/>
              <w:rPr>
                <w:sz w:val="20"/>
                <w:szCs w:val="20"/>
                <w:color w:val="auto"/>
              </w:rPr>
            </w:pPr>
            <w:r>
              <w:rPr>
                <w:rFonts w:ascii="Arial" w:cs="Arial" w:eastAsia="Arial" w:hAnsi="Arial"/>
                <w:sz w:val="18"/>
                <w:szCs w:val="18"/>
                <w:color w:val="auto"/>
              </w:rPr>
              <w:t>Boquan He</w:t>
            </w: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25"/>
        </w:trPr>
        <w:tc>
          <w:tcPr>
            <w:tcW w:w="3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Chia-Yue Chang</w:t>
            </w:r>
          </w:p>
        </w:tc>
        <w:tc>
          <w:tcPr>
            <w:tcW w:w="476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290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October 27, 2010</w:t>
            </w:r>
          </w:p>
        </w:tc>
      </w:tr>
      <w:tr>
        <w:trPr>
          <w:trHeight w:val="230"/>
        </w:trPr>
        <w:tc>
          <w:tcPr>
            <w:tcW w:w="3760" w:type="dxa"/>
            <w:vAlign w:val="bottom"/>
            <w:gridSpan w:val="3"/>
          </w:tcPr>
          <w:p>
            <w:pPr>
              <w:spacing w:after="0"/>
              <w:rPr>
                <w:sz w:val="20"/>
                <w:szCs w:val="20"/>
                <w:color w:val="auto"/>
              </w:rPr>
            </w:pPr>
            <w:r>
              <w:rPr>
                <w:rFonts w:ascii="Arial" w:cs="Arial" w:eastAsia="Arial" w:hAnsi="Arial"/>
                <w:sz w:val="18"/>
                <w:szCs w:val="18"/>
                <w:color w:val="auto"/>
              </w:rPr>
              <w:t>Chia-Yue Chang</w:t>
            </w: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25"/>
        </w:trPr>
        <w:tc>
          <w:tcPr>
            <w:tcW w:w="3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Steve Yue Ji</w:t>
            </w:r>
          </w:p>
        </w:tc>
        <w:tc>
          <w:tcPr>
            <w:tcW w:w="476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290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October 27, 2010</w:t>
            </w:r>
          </w:p>
        </w:tc>
      </w:tr>
      <w:tr>
        <w:trPr>
          <w:trHeight w:val="230"/>
        </w:trPr>
        <w:tc>
          <w:tcPr>
            <w:tcW w:w="3760" w:type="dxa"/>
            <w:vAlign w:val="bottom"/>
            <w:gridSpan w:val="3"/>
          </w:tcPr>
          <w:p>
            <w:pPr>
              <w:spacing w:after="0"/>
              <w:rPr>
                <w:sz w:val="20"/>
                <w:szCs w:val="20"/>
                <w:color w:val="auto"/>
              </w:rPr>
            </w:pPr>
            <w:r>
              <w:rPr>
                <w:rFonts w:ascii="Arial" w:cs="Arial" w:eastAsia="Arial" w:hAnsi="Arial"/>
                <w:sz w:val="18"/>
                <w:szCs w:val="18"/>
                <w:color w:val="auto"/>
              </w:rPr>
              <w:t>Steve Yue Ji</w:t>
            </w: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25"/>
        </w:trPr>
        <w:tc>
          <w:tcPr>
            <w:tcW w:w="3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Kate Ledyard</w:t>
            </w:r>
          </w:p>
        </w:tc>
        <w:tc>
          <w:tcPr>
            <w:tcW w:w="4760" w:type="dxa"/>
            <w:vAlign w:val="bottom"/>
            <w:gridSpan w:val="3"/>
          </w:tcPr>
          <w:p>
            <w:pPr>
              <w:jc w:val="center"/>
              <w:ind w:left="91"/>
              <w:spacing w:after="0"/>
              <w:rPr>
                <w:sz w:val="20"/>
                <w:szCs w:val="20"/>
                <w:color w:val="auto"/>
              </w:rPr>
            </w:pPr>
            <w:r>
              <w:rPr>
                <w:rFonts w:ascii="Arial" w:cs="Arial" w:eastAsia="Arial" w:hAnsi="Arial"/>
                <w:sz w:val="18"/>
                <w:szCs w:val="18"/>
                <w:color w:val="auto"/>
                <w:w w:val="90"/>
              </w:rPr>
              <w:t>Authorized Representative in the U.S.</w:t>
            </w:r>
          </w:p>
        </w:tc>
        <w:tc>
          <w:tcPr>
            <w:tcW w:w="290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October 27, 2010</w:t>
            </w:r>
          </w:p>
        </w:tc>
      </w:tr>
      <w:tr>
        <w:trPr>
          <w:trHeight w:val="202"/>
        </w:trPr>
        <w:tc>
          <w:tcPr>
            <w:tcW w:w="3760" w:type="dxa"/>
            <w:vAlign w:val="bottom"/>
            <w:gridSpan w:val="3"/>
          </w:tcPr>
          <w:p>
            <w:pPr>
              <w:spacing w:after="0" w:line="201" w:lineRule="exact"/>
              <w:rPr>
                <w:sz w:val="20"/>
                <w:szCs w:val="20"/>
                <w:color w:val="auto"/>
              </w:rPr>
            </w:pPr>
            <w:r>
              <w:rPr>
                <w:rFonts w:ascii="Arial" w:cs="Arial" w:eastAsia="Arial" w:hAnsi="Arial"/>
                <w:sz w:val="18"/>
                <w:szCs w:val="18"/>
                <w:color w:val="auto"/>
              </w:rPr>
              <w:t>Name: Kate Ledyard</w:t>
            </w:r>
          </w:p>
        </w:tc>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w w:val="92"/>
              </w:rPr>
              <w:t>Title: Manager, Law Debenture Corporate Services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3760" w:type="dxa"/>
            <w:vAlign w:val="bottom"/>
            <w:gridSpan w:val="3"/>
          </w:tcPr>
          <w:p>
            <w:pPr>
              <w:spacing w:after="0"/>
              <w:rPr>
                <w:sz w:val="20"/>
                <w:szCs w:val="20"/>
                <w:color w:val="auto"/>
              </w:rPr>
            </w:pPr>
            <w:r>
              <w:rPr>
                <w:rFonts w:ascii="Arial" w:cs="Arial" w:eastAsia="Arial" w:hAnsi="Arial"/>
                <w:sz w:val="18"/>
                <w:szCs w:val="18"/>
                <w:color w:val="auto"/>
              </w:rPr>
              <w:t>Inc.</w:t>
            </w: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55"/>
        </w:trPr>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760" w:type="dxa"/>
            <w:vAlign w:val="bottom"/>
            <w:gridSpan w:val="3"/>
          </w:tcPr>
          <w:p>
            <w:pPr>
              <w:ind w:left="1840"/>
              <w:spacing w:after="0"/>
              <w:rPr>
                <w:sz w:val="20"/>
                <w:szCs w:val="20"/>
                <w:color w:val="auto"/>
              </w:rPr>
            </w:pPr>
            <w:r>
              <w:rPr>
                <w:rFonts w:ascii="Arial" w:cs="Arial" w:eastAsia="Arial" w:hAnsi="Arial"/>
                <w:sz w:val="14"/>
                <w:szCs w:val="14"/>
                <w:color w:val="auto"/>
              </w:rPr>
              <w:t>II-5</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3"/>
        </w:trPr>
        <w:tc>
          <w:tcPr>
            <w:tcW w:w="15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Index to Exhibits</w:t>
            </w:r>
          </w:p>
        </w:tc>
        <w:tc>
          <w:tcPr>
            <w:tcW w:w="1220" w:type="dxa"/>
            <w:vAlign w:val="bottom"/>
          </w:tcPr>
          <w:p>
            <w:pPr>
              <w:spacing w:after="0"/>
              <w:rPr>
                <w:sz w:val="17"/>
                <w:szCs w:val="17"/>
                <w:color w:val="auto"/>
              </w:rPr>
            </w:pPr>
          </w:p>
        </w:tc>
      </w:tr>
      <w:tr>
        <w:trPr>
          <w:trHeight w:val="461"/>
        </w:trPr>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Sequentially</w:t>
            </w:r>
          </w:p>
        </w:tc>
      </w:tr>
      <w:tr>
        <w:trPr>
          <w:trHeight w:val="194"/>
        </w:trPr>
        <w:tc>
          <w:tcPr>
            <w:tcW w:w="36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Exhibit</w:t>
            </w:r>
          </w:p>
        </w:tc>
        <w:tc>
          <w:tcPr>
            <w:tcW w:w="44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Document</w:t>
            </w:r>
          </w:p>
        </w:tc>
        <w:tc>
          <w:tcPr>
            <w:tcW w:w="1220" w:type="dxa"/>
            <w:vAlign w:val="bottom"/>
          </w:tcPr>
          <w:p>
            <w:pPr>
              <w:spacing w:after="0" w:line="194" w:lineRule="exact"/>
              <w:rPr>
                <w:sz w:val="20"/>
                <w:szCs w:val="20"/>
                <w:color w:val="auto"/>
              </w:rPr>
            </w:pPr>
            <w:r>
              <w:rPr>
                <w:rFonts w:ascii="Arial" w:cs="Arial" w:eastAsia="Arial" w:hAnsi="Arial"/>
                <w:sz w:val="18"/>
                <w:szCs w:val="18"/>
                <w:b w:val="1"/>
                <w:bCs w:val="1"/>
                <w:color w:val="auto"/>
                <w:w w:val="87"/>
              </w:rPr>
              <w:t>Numbered Page</w:t>
            </w:r>
          </w:p>
        </w:tc>
      </w:tr>
      <w:tr>
        <w:trPr>
          <w:trHeight w:val="20"/>
        </w:trPr>
        <w:tc>
          <w:tcPr>
            <w:tcW w:w="5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(a)</w:t>
            </w:r>
          </w:p>
        </w:tc>
        <w:tc>
          <w:tcPr>
            <w:tcW w:w="3040" w:type="dxa"/>
            <w:vAlign w:val="bottom"/>
          </w:tcPr>
          <w:p>
            <w:pPr>
              <w:spacing w:after="0"/>
              <w:rPr>
                <w:sz w:val="19"/>
                <w:szCs w:val="19"/>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Form of Deposit Agreement</w:t>
            </w:r>
          </w:p>
        </w:tc>
        <w:tc>
          <w:tcPr>
            <w:tcW w:w="1220" w:type="dxa"/>
            <w:vAlign w:val="bottom"/>
          </w:tcPr>
          <w:p>
            <w:pPr>
              <w:spacing w:after="0"/>
              <w:rPr>
                <w:sz w:val="19"/>
                <w:szCs w:val="19"/>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(d)</w:t>
            </w:r>
          </w:p>
        </w:tc>
        <w:tc>
          <w:tcPr>
            <w:tcW w:w="4460" w:type="dxa"/>
            <w:vAlign w:val="bottom"/>
            <w:gridSpan w:val="4"/>
          </w:tcPr>
          <w:p>
            <w:pPr>
              <w:spacing w:after="0"/>
              <w:rPr>
                <w:sz w:val="20"/>
                <w:szCs w:val="20"/>
                <w:color w:val="auto"/>
              </w:rPr>
            </w:pPr>
            <w:r>
              <w:rPr>
                <w:rFonts w:ascii="Arial" w:cs="Arial" w:eastAsia="Arial" w:hAnsi="Arial"/>
                <w:sz w:val="18"/>
                <w:szCs w:val="18"/>
                <w:color w:val="auto"/>
              </w:rPr>
              <w:t>Opinion of counsel to the Depositary</w:t>
            </w:r>
          </w:p>
        </w:tc>
        <w:tc>
          <w:tcPr>
            <w:tcW w:w="1220" w:type="dxa"/>
            <w:vAlign w:val="bottom"/>
          </w:tcPr>
          <w:p>
            <w:pPr>
              <w:spacing w:after="0"/>
              <w:rPr>
                <w:sz w:val="20"/>
                <w:szCs w:val="20"/>
                <w:color w:val="auto"/>
              </w:rPr>
            </w:pPr>
          </w:p>
        </w:tc>
      </w:tr>
    </w:tbl>
    <w:p>
      <w:pPr>
        <w:sectPr>
          <w:pgSz w:w="11900" w:h="16838" w:orient="portrait"/>
          <w:cols w:equalWidth="0" w:num="1">
            <w:col w:w="10039"/>
          </w:cols>
          <w:pgMar w:left="420" w:top="500" w:right="1440"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240665</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and among</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NOAH HOLDINGS LIMITED</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Depositary,</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HOLDERS AND BENEFICIAL OWNERS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DEPOSITARY SHARES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211455</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Dated as of </w:t>
      </w:r>
      <w:r>
        <w:rPr>
          <w:rFonts w:ascii="Arial" w:cs="Arial" w:eastAsia="Arial" w:hAnsi="Arial"/>
          <w:sz w:val="18"/>
          <w:szCs w:val="18"/>
          <w:b w:val="1"/>
          <w:bCs w:val="1"/>
          <w:color w:val="auto"/>
        </w:rPr>
        <w:t>[DATE]</w:t>
      </w:r>
      <w:r>
        <w:rPr>
          <w:rFonts w:ascii="Arial" w:cs="Arial" w:eastAsia="Arial" w:hAnsi="Arial"/>
          <w:sz w:val="18"/>
          <w:szCs w:val="18"/>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426720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DEPOSIT AGREEMENT</w:t>
      </w:r>
    </w:p>
    <w:p>
      <w:pPr>
        <w:spacing w:after="0" w:line="25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DEPOSIT AGREEMENT</w:t>
      </w:r>
      <w:r>
        <w:rPr>
          <w:rFonts w:ascii="Arial" w:cs="Arial" w:eastAsia="Arial" w:hAnsi="Arial"/>
          <w:sz w:val="18"/>
          <w:szCs w:val="18"/>
          <w:color w:val="auto"/>
        </w:rPr>
        <w:t>, dated as of</w:t>
      </w:r>
      <w:r>
        <w:rPr>
          <w:rFonts w:ascii="Arial" w:cs="Arial" w:eastAsia="Arial" w:hAnsi="Arial"/>
          <w:sz w:val="18"/>
          <w:szCs w:val="18"/>
          <w:b w:val="1"/>
          <w:bCs w:val="1"/>
          <w:color w:val="auto"/>
        </w:rPr>
        <w:t xml:space="preserve"> [DATE]</w:t>
      </w:r>
      <w:r>
        <w:rPr>
          <w:rFonts w:ascii="Arial" w:cs="Arial" w:eastAsia="Arial" w:hAnsi="Arial"/>
          <w:sz w:val="18"/>
          <w:szCs w:val="18"/>
          <w:color w:val="auto"/>
        </w:rPr>
        <w:t>, 2010, by and among (i) NOAH HOLDINGS LIMITED, an company incorporated under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Cayman Islands, and its successors (the “Company”), (ii) CITIBANK, N.A., a national banking association organized under the laws of the United States of America acting in its capacity as depositary, and any successor depositary hereunder (the “Depositary”), and (iii) all Holders and Beneficial Owners of American Depositary Shares issued hereunder (all such capitalized terms as hereinafter defined).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 I T N E S S E T H  T H A T</w:t>
      </w:r>
      <w:r>
        <w:rPr>
          <w:rFonts w:ascii="Arial" w:cs="Arial" w:eastAsia="Arial" w:hAnsi="Arial"/>
          <w:sz w:val="18"/>
          <w:szCs w:val="18"/>
          <w:color w:val="auto"/>
        </w:rPr>
        <w:t>:</w:t>
      </w:r>
    </w:p>
    <w:p>
      <w:pPr>
        <w:spacing w:after="0" w:line="25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establish with the Depositary an ADR facility to provide for the deposit of the Shares (as hereinafter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creation of American Depositary Shares representing the Shares so deposited; and</w:t>
      </w:r>
    </w:p>
    <w:p>
      <w:pPr>
        <w:spacing w:after="0" w:line="189"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the Deposit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and</w:t>
      </w:r>
    </w:p>
    <w:p>
      <w:pPr>
        <w:spacing w:after="0" w:line="189"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any American Depositary Receipts issued pursuant to the terms of the Deposit Agreement are to be substantially in the form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attached hereto, with appropriate insertions, modifications and omissions, as hereinafter provided in the Deposit Agreement; and</w:t>
      </w:r>
    </w:p>
    <w:p>
      <w:pPr>
        <w:spacing w:after="0" w:line="16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American Depositary Shares to be issued pursuant to the terms of the Deposit Agreement are to be listed for trading on the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Stock Exchange; and</w:t>
      </w:r>
    </w:p>
    <w:p>
      <w:pPr>
        <w:spacing w:after="0" w:line="189"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Company (or an authorized committee thereof) has duly approved the establishment of an ADR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terms set forth in the Deposit Agreement, the execution and delivery of the Deposit Agreement on behalf of the Company, and the actions of the Company and the transactions contemplated herein.</w:t>
      </w:r>
    </w:p>
    <w:p>
      <w:pPr>
        <w:spacing w:after="0" w:line="203"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60"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given to such term in Section 4.9.</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980" w:type="dxa"/>
            <w:vAlign w:val="bottom"/>
          </w:tcPr>
          <w:p>
            <w:pPr>
              <w:ind w:left="660"/>
              <w:spacing w:after="0"/>
              <w:rPr>
                <w:sz w:val="20"/>
                <w:szCs w:val="20"/>
                <w:color w:val="auto"/>
              </w:rPr>
            </w:pPr>
            <w:r>
              <w:rPr>
                <w:rFonts w:ascii="Arial" w:cs="Arial" w:eastAsia="Arial" w:hAnsi="Arial"/>
                <w:sz w:val="18"/>
                <w:szCs w:val="18"/>
                <w:b w:val="1"/>
                <w:bCs w:val="1"/>
                <w:color w:val="auto"/>
              </w:rPr>
              <w:t>Section 1.2</w:t>
            </w:r>
          </w:p>
        </w:tc>
        <w:tc>
          <w:tcPr>
            <w:tcW w:w="9260" w:type="dxa"/>
            <w:vAlign w:val="bottom"/>
            <w:gridSpan w:val="8"/>
          </w:tcPr>
          <w:p>
            <w:pPr>
              <w:ind w:left="500"/>
              <w:spacing w:after="0"/>
              <w:rPr>
                <w:sz w:val="20"/>
                <w:szCs w:val="20"/>
                <w:color w:val="auto"/>
              </w:rPr>
            </w:pPr>
            <w:r>
              <w:rPr>
                <w:rFonts w:ascii="Arial" w:cs="Arial" w:eastAsia="Arial" w:hAnsi="Arial"/>
                <w:sz w:val="18"/>
                <w:szCs w:val="18"/>
                <w:b w:val="1"/>
                <w:bCs w:val="1"/>
                <w:color w:val="auto"/>
                <w:w w:val="90"/>
              </w:rPr>
              <w:t xml:space="preserve">“Affiliate” </w:t>
            </w:r>
            <w:r>
              <w:rPr>
                <w:rFonts w:ascii="Arial" w:cs="Arial" w:eastAsia="Arial" w:hAnsi="Arial"/>
                <w:sz w:val="18"/>
                <w:szCs w:val="18"/>
                <w:color w:val="auto"/>
                <w:w w:val="90"/>
              </w:rPr>
              <w:t>shall have the meaning assigned to such term by the Commission (as hereinafter defined) under Regulation C</w:t>
            </w:r>
          </w:p>
        </w:tc>
      </w:tr>
      <w:tr>
        <w:trPr>
          <w:trHeight w:val="20"/>
        </w:trPr>
        <w:tc>
          <w:tcPr>
            <w:tcW w:w="25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37"/>
        </w:trPr>
        <w:tc>
          <w:tcPr>
            <w:tcW w:w="11240" w:type="dxa"/>
            <w:vAlign w:val="bottom"/>
            <w:gridSpan w:val="9"/>
          </w:tcPr>
          <w:p>
            <w:pPr>
              <w:spacing w:after="0"/>
              <w:rPr>
                <w:sz w:val="20"/>
                <w:szCs w:val="20"/>
                <w:color w:val="auto"/>
              </w:rPr>
            </w:pPr>
            <w:r>
              <w:rPr>
                <w:rFonts w:ascii="Arial" w:cs="Arial" w:eastAsia="Arial" w:hAnsi="Arial"/>
                <w:sz w:val="18"/>
                <w:szCs w:val="18"/>
                <w:color w:val="auto"/>
              </w:rPr>
              <w:t>promulgated under the Securities Act (as hereinafter defined), or under any successor regulation thereto.</w:t>
            </w:r>
          </w:p>
        </w:tc>
      </w:tr>
      <w:tr>
        <w:trPr>
          <w:trHeight w:val="419"/>
        </w:trPr>
        <w:tc>
          <w:tcPr>
            <w:tcW w:w="1980" w:type="dxa"/>
            <w:vAlign w:val="bottom"/>
          </w:tcPr>
          <w:p>
            <w:pPr>
              <w:ind w:left="660"/>
              <w:spacing w:after="0"/>
              <w:rPr>
                <w:sz w:val="20"/>
                <w:szCs w:val="20"/>
                <w:color w:val="auto"/>
              </w:rPr>
            </w:pPr>
            <w:r>
              <w:rPr>
                <w:rFonts w:ascii="Arial" w:cs="Arial" w:eastAsia="Arial" w:hAnsi="Arial"/>
                <w:sz w:val="18"/>
                <w:szCs w:val="18"/>
                <w:b w:val="1"/>
                <w:bCs w:val="1"/>
                <w:color w:val="auto"/>
              </w:rPr>
              <w:t>Section 1.3</w:t>
            </w:r>
          </w:p>
        </w:tc>
        <w:tc>
          <w:tcPr>
            <w:tcW w:w="9260" w:type="dxa"/>
            <w:vAlign w:val="bottom"/>
            <w:gridSpan w:val="8"/>
          </w:tcPr>
          <w:p>
            <w:pPr>
              <w:ind w:left="5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American Depositary Receipt(s)</w:t>
            </w:r>
            <w:r>
              <w:rPr>
                <w:rFonts w:ascii="Arial" w:cs="Arial" w:eastAsia="Arial" w:hAnsi="Arial"/>
                <w:sz w:val="18"/>
                <w:szCs w:val="18"/>
                <w:color w:val="auto"/>
                <w:w w:val="91"/>
              </w:rPr>
              <w:t>”, “</w:t>
            </w:r>
            <w:r>
              <w:rPr>
                <w:rFonts w:ascii="Arial" w:cs="Arial" w:eastAsia="Arial" w:hAnsi="Arial"/>
                <w:sz w:val="18"/>
                <w:szCs w:val="18"/>
                <w:b w:val="1"/>
                <w:bCs w:val="1"/>
                <w:color w:val="auto"/>
                <w:w w:val="91"/>
              </w:rPr>
              <w:t>ADR(s)</w:t>
            </w:r>
            <w:r>
              <w:rPr>
                <w:rFonts w:ascii="Arial" w:cs="Arial" w:eastAsia="Arial" w:hAnsi="Arial"/>
                <w:sz w:val="18"/>
                <w:szCs w:val="18"/>
                <w:color w:val="auto"/>
                <w:w w:val="91"/>
              </w:rPr>
              <w:t>” and “</w:t>
            </w:r>
            <w:r>
              <w:rPr>
                <w:rFonts w:ascii="Arial" w:cs="Arial" w:eastAsia="Arial" w:hAnsi="Arial"/>
                <w:sz w:val="18"/>
                <w:szCs w:val="18"/>
                <w:b w:val="1"/>
                <w:bCs w:val="1"/>
                <w:color w:val="auto"/>
                <w:w w:val="91"/>
              </w:rPr>
              <w:t>Receipt(s)</w:t>
            </w:r>
            <w:r>
              <w:rPr>
                <w:rFonts w:ascii="Arial" w:cs="Arial" w:eastAsia="Arial" w:hAnsi="Arial"/>
                <w:sz w:val="18"/>
                <w:szCs w:val="18"/>
                <w:color w:val="auto"/>
                <w:w w:val="91"/>
              </w:rPr>
              <w:t>” shall mean the certificate(s) issued by the Depositary to</w:t>
            </w:r>
          </w:p>
        </w:tc>
      </w:tr>
      <w:tr>
        <w:trPr>
          <w:trHeight w:val="20"/>
        </w:trPr>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evidence 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18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b w:val="1"/>
          <w:bCs w:val="1"/>
          <w:color w:val="auto"/>
        </w:rPr>
        <w:t xml:space="preserve">Section 1.4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American Depositary Share(s)</w:t>
      </w:r>
      <w:r>
        <w:rPr>
          <w:rFonts w:ascii="Arial" w:cs="Arial" w:eastAsia="Arial" w:hAnsi="Arial"/>
          <w:sz w:val="17"/>
          <w:szCs w:val="17"/>
          <w:color w:val="auto"/>
        </w:rPr>
        <w:t>” and “</w:t>
      </w:r>
      <w:r>
        <w:rPr>
          <w:rFonts w:ascii="Arial" w:cs="Arial" w:eastAsia="Arial" w:hAnsi="Arial"/>
          <w:sz w:val="17"/>
          <w:szCs w:val="17"/>
          <w:b w:val="1"/>
          <w:bCs w:val="1"/>
          <w:u w:val="single" w:color="auto"/>
          <w:color w:val="auto"/>
        </w:rPr>
        <w:t>ADS(s)</w:t>
      </w:r>
      <w:r>
        <w:rPr>
          <w:rFonts w:ascii="Arial" w:cs="Arial" w:eastAsia="Arial" w:hAnsi="Arial"/>
          <w:sz w:val="17"/>
          <w:szCs w:val="17"/>
          <w:color w:val="auto"/>
        </w:rPr>
        <w:t>” shall mean the rights and interests in the Deposited Securities (as</w:t>
      </w:r>
      <w:r>
        <w:rPr>
          <w:rFonts w:ascii="Arial" w:cs="Arial" w:eastAsia="Arial" w:hAnsi="Arial"/>
          <w:sz w:val="17"/>
          <w:szCs w:val="17"/>
          <w:b w:val="1"/>
          <w:bCs w:val="1"/>
          <w:color w:val="auto"/>
        </w:rPr>
        <w:t xml:space="preserve"> </w:t>
      </w:r>
      <w:r>
        <w:rPr>
          <w:rFonts w:ascii="Arial" w:cs="Arial" w:eastAsia="Arial" w:hAnsi="Arial"/>
          <w:sz w:val="17"/>
          <w:szCs w:val="17"/>
          <w:color w:val="auto"/>
        </w:rPr>
        <w:t>hereinafter 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 (a) Certificated ADS (s)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two (2) ADSs shall represent the right to receive, subject to the terms and conditions of the Deposit Agreement and the applicable ADR (if issued as a Certificated ADS), one (1) Share until there shall occur a distribution upon Deposited Securities referred to in Section 4.2 or a change in Deposited Securities referred to in Section 4.11 with respect to which additional ADSs are not issued, and thereafter each ADS s hall represent the right to receive, subject to the terms and conditions of the Deposit Agreement and the applicable ADR (if issued as a Certificated ADS), the Deposited Securities determined in accordance with the terms of such Sections.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ind w:left="660"/>
              <w:spacing w:after="0"/>
              <w:rPr>
                <w:sz w:val="20"/>
                <w:szCs w:val="20"/>
                <w:color w:val="auto"/>
              </w:rPr>
            </w:pPr>
            <w:r>
              <w:rPr>
                <w:rFonts w:ascii="Arial" w:cs="Arial" w:eastAsia="Arial" w:hAnsi="Arial"/>
                <w:sz w:val="18"/>
                <w:szCs w:val="18"/>
                <w:b w:val="1"/>
                <w:bCs w:val="1"/>
                <w:color w:val="auto"/>
              </w:rPr>
              <w:t>Section 1.5</w:t>
            </w:r>
          </w:p>
        </w:tc>
        <w:tc>
          <w:tcPr>
            <w:tcW w:w="9160" w:type="dxa"/>
            <w:vAlign w:val="bottom"/>
            <w:gridSpan w:val="5"/>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Applicant</w:t>
            </w:r>
            <w:r>
              <w:rPr>
                <w:rFonts w:ascii="Arial" w:cs="Arial" w:eastAsia="Arial" w:hAnsi="Arial"/>
                <w:sz w:val="18"/>
                <w:szCs w:val="18"/>
                <w:color w:val="auto"/>
              </w:rPr>
              <w:t>” shall have the meaning given to such term in Section 5.10.</w:t>
            </w:r>
          </w:p>
        </w:tc>
      </w:tr>
      <w:tr>
        <w:trPr>
          <w:trHeight w:val="20"/>
        </w:trPr>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439"/>
        </w:trPr>
        <w:tc>
          <w:tcPr>
            <w:tcW w:w="1980" w:type="dxa"/>
            <w:vAlign w:val="bottom"/>
          </w:tcPr>
          <w:p>
            <w:pPr>
              <w:ind w:left="660"/>
              <w:spacing w:after="0"/>
              <w:rPr>
                <w:sz w:val="20"/>
                <w:szCs w:val="20"/>
                <w:color w:val="auto"/>
              </w:rPr>
            </w:pPr>
            <w:r>
              <w:rPr>
                <w:rFonts w:ascii="Arial" w:cs="Arial" w:eastAsia="Arial" w:hAnsi="Arial"/>
                <w:sz w:val="18"/>
                <w:szCs w:val="18"/>
                <w:b w:val="1"/>
                <w:bCs w:val="1"/>
                <w:color w:val="auto"/>
              </w:rPr>
              <w:t>Section 1.6</w:t>
            </w:r>
          </w:p>
        </w:tc>
        <w:tc>
          <w:tcPr>
            <w:tcW w:w="9160" w:type="dxa"/>
            <w:vAlign w:val="bottom"/>
            <w:gridSpan w:val="5"/>
          </w:tcPr>
          <w:p>
            <w:pPr>
              <w:ind w:left="500"/>
              <w:spacing w:after="0"/>
              <w:rPr>
                <w:sz w:val="20"/>
                <w:szCs w:val="20"/>
                <w:color w:val="auto"/>
              </w:rPr>
            </w:pPr>
            <w:r>
              <w:rPr>
                <w:rFonts w:ascii="Arial" w:cs="Arial" w:eastAsia="Arial" w:hAnsi="Arial"/>
                <w:sz w:val="18"/>
                <w:szCs w:val="18"/>
                <w:b w:val="1"/>
                <w:bCs w:val="1"/>
                <w:color w:val="auto"/>
                <w:w w:val="89"/>
              </w:rPr>
              <w:t xml:space="preserve">“Articles of Association” </w:t>
            </w:r>
            <w:r>
              <w:rPr>
                <w:rFonts w:ascii="Arial" w:cs="Arial" w:eastAsia="Arial" w:hAnsi="Arial"/>
                <w:sz w:val="18"/>
                <w:szCs w:val="18"/>
                <w:color w:val="auto"/>
                <w:w w:val="89"/>
              </w:rPr>
              <w:t>shall mean the Articles of Association of the Company, as amended and restated from time to</w:t>
            </w: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time.</w:t>
            </w:r>
          </w:p>
        </w:tc>
        <w:tc>
          <w:tcPr>
            <w:tcW w:w="58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860" w:type="dxa"/>
            <w:vAlign w:val="bottom"/>
          </w:tcPr>
          <w:p>
            <w:pPr>
              <w:spacing w:after="0"/>
              <w:rPr>
                <w:sz w:val="20"/>
                <w:szCs w:val="20"/>
                <w:color w:val="auto"/>
              </w:rPr>
            </w:pPr>
          </w:p>
        </w:tc>
      </w:tr>
      <w:tr>
        <w:trPr>
          <w:trHeight w:val="419"/>
        </w:trPr>
        <w:tc>
          <w:tcPr>
            <w:tcW w:w="1980" w:type="dxa"/>
            <w:vAlign w:val="bottom"/>
          </w:tcPr>
          <w:p>
            <w:pPr>
              <w:ind w:left="660"/>
              <w:spacing w:after="0"/>
              <w:rPr>
                <w:sz w:val="20"/>
                <w:szCs w:val="20"/>
                <w:color w:val="auto"/>
              </w:rPr>
            </w:pPr>
            <w:r>
              <w:rPr>
                <w:rFonts w:ascii="Arial" w:cs="Arial" w:eastAsia="Arial" w:hAnsi="Arial"/>
                <w:sz w:val="18"/>
                <w:szCs w:val="18"/>
                <w:b w:val="1"/>
                <w:bCs w:val="1"/>
                <w:color w:val="auto"/>
              </w:rPr>
              <w:t>Section 1.7</w:t>
            </w:r>
          </w:p>
        </w:tc>
        <w:tc>
          <w:tcPr>
            <w:tcW w:w="9160" w:type="dxa"/>
            <w:vAlign w:val="bottom"/>
            <w:gridSpan w:val="5"/>
          </w:tcPr>
          <w:p>
            <w:pPr>
              <w:ind w:left="5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Beneficial Owner</w:t>
            </w:r>
            <w:r>
              <w:rPr>
                <w:rFonts w:ascii="Arial" w:cs="Arial" w:eastAsia="Arial" w:hAnsi="Arial"/>
                <w:sz w:val="18"/>
                <w:szCs w:val="18"/>
                <w:color w:val="auto"/>
                <w:w w:val="95"/>
              </w:rPr>
              <w:t>” shall mean, as to any ADS, any person or entity having a beneficial interest deriving from the</w:t>
            </w:r>
          </w:p>
        </w:tc>
      </w:tr>
      <w:tr>
        <w:trPr>
          <w:trHeight w:val="20"/>
        </w:trPr>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ownership of such ADS.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 ts name.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ind w:left="660"/>
              <w:spacing w:after="0"/>
              <w:rPr>
                <w:sz w:val="20"/>
                <w:szCs w:val="20"/>
                <w:color w:val="auto"/>
              </w:rPr>
            </w:pPr>
            <w:r>
              <w:rPr>
                <w:rFonts w:ascii="Arial" w:cs="Arial" w:eastAsia="Arial" w:hAnsi="Arial"/>
                <w:sz w:val="18"/>
                <w:szCs w:val="18"/>
                <w:b w:val="1"/>
                <w:bCs w:val="1"/>
                <w:color w:val="auto"/>
              </w:rPr>
              <w:t>Section 1.8</w:t>
            </w:r>
          </w:p>
        </w:tc>
        <w:tc>
          <w:tcPr>
            <w:tcW w:w="9440" w:type="dxa"/>
            <w:vAlign w:val="bottom"/>
            <w:gridSpan w:val="3"/>
          </w:tcPr>
          <w:p>
            <w:pPr>
              <w:jc w:val="right"/>
              <w:ind w:right="3650"/>
              <w:spacing w:after="0"/>
              <w:rPr>
                <w:sz w:val="20"/>
                <w:szCs w:val="20"/>
                <w:color w:val="auto"/>
              </w:rPr>
            </w:pPr>
            <w:r>
              <w:rPr>
                <w:rFonts w:ascii="Arial" w:cs="Arial" w:eastAsia="Arial" w:hAnsi="Arial"/>
                <w:sz w:val="18"/>
                <w:szCs w:val="18"/>
                <w:b w:val="1"/>
                <w:bCs w:val="1"/>
                <w:color w:val="auto"/>
                <w:w w:val="99"/>
              </w:rPr>
              <w:t xml:space="preserve">“Certificated ADS(s)” </w:t>
            </w:r>
            <w:r>
              <w:rPr>
                <w:rFonts w:ascii="Arial" w:cs="Arial" w:eastAsia="Arial" w:hAnsi="Arial"/>
                <w:sz w:val="18"/>
                <w:szCs w:val="18"/>
                <w:color w:val="auto"/>
                <w:w w:val="99"/>
              </w:rPr>
              <w:t>shall have the meaning set forth in Section 2.13.</w:t>
            </w:r>
          </w:p>
        </w:tc>
      </w:tr>
      <w:tr>
        <w:trPr>
          <w:trHeight w:val="628"/>
        </w:trPr>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7340" w:type="dxa"/>
            <w:vAlign w:val="bottom"/>
          </w:tcPr>
          <w:p>
            <w:pPr>
              <w:jc w:val="right"/>
              <w:ind w:right="5570"/>
              <w:spacing w:after="0"/>
              <w:rPr>
                <w:sz w:val="20"/>
                <w:szCs w:val="20"/>
                <w:color w:val="auto"/>
              </w:rPr>
            </w:pPr>
            <w:r>
              <w:rPr>
                <w:rFonts w:ascii="Arial" w:cs="Arial" w:eastAsia="Arial" w:hAnsi="Arial"/>
                <w:sz w:val="18"/>
                <w:szCs w:val="18"/>
                <w:color w:val="auto"/>
              </w:rPr>
              <w:t>2</w:t>
            </w:r>
          </w:p>
        </w:tc>
      </w:tr>
      <w:tr>
        <w:trPr>
          <w:trHeight w:val="118"/>
        </w:trPr>
        <w:tc>
          <w:tcPr>
            <w:tcW w:w="19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7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200" w:type="dxa"/>
            <w:vAlign w:val="bottom"/>
          </w:tcPr>
          <w:p>
            <w:pPr>
              <w:ind w:left="660"/>
              <w:spacing w:after="0"/>
              <w:rPr>
                <w:sz w:val="20"/>
                <w:szCs w:val="20"/>
                <w:color w:val="auto"/>
              </w:rPr>
            </w:pPr>
            <w:r>
              <w:rPr>
                <w:rFonts w:ascii="Arial" w:cs="Arial" w:eastAsia="Arial" w:hAnsi="Arial"/>
                <w:sz w:val="18"/>
                <w:szCs w:val="18"/>
                <w:b w:val="1"/>
                <w:bCs w:val="1"/>
                <w:color w:val="auto"/>
              </w:rPr>
              <w:t>Section 1.9</w:t>
            </w:r>
          </w:p>
        </w:tc>
        <w:tc>
          <w:tcPr>
            <w:tcW w:w="9180" w:type="dxa"/>
            <w:vAlign w:val="bottom"/>
            <w:gridSpan w:val="5"/>
          </w:tcPr>
          <w:p>
            <w:pPr>
              <w:ind w:left="2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Commission</w:t>
            </w:r>
            <w:r>
              <w:rPr>
                <w:rFonts w:ascii="Arial" w:cs="Arial" w:eastAsia="Arial" w:hAnsi="Arial"/>
                <w:sz w:val="18"/>
                <w:szCs w:val="18"/>
                <w:color w:val="auto"/>
                <w:w w:val="91"/>
              </w:rPr>
              <w:t>” shall mean the Securities and Exchange Commission of the United States or any successor governmental</w:t>
            </w:r>
          </w:p>
        </w:tc>
      </w:tr>
      <w:tr>
        <w:trPr>
          <w:trHeight w:val="20"/>
        </w:trPr>
        <w:tc>
          <w:tcPr>
            <w:tcW w:w="25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237"/>
        </w:trPr>
        <w:tc>
          <w:tcPr>
            <w:tcW w:w="11380" w:type="dxa"/>
            <w:vAlign w:val="bottom"/>
            <w:gridSpan w:val="6"/>
          </w:tcPr>
          <w:p>
            <w:pPr>
              <w:spacing w:after="0"/>
              <w:rPr>
                <w:sz w:val="20"/>
                <w:szCs w:val="20"/>
                <w:color w:val="auto"/>
              </w:rPr>
            </w:pPr>
            <w:r>
              <w:rPr>
                <w:rFonts w:ascii="Arial" w:cs="Arial" w:eastAsia="Arial" w:hAnsi="Arial"/>
                <w:sz w:val="18"/>
                <w:szCs w:val="18"/>
                <w:color w:val="auto"/>
              </w:rPr>
              <w:t>agency thereto in the United States.</w:t>
            </w:r>
          </w:p>
        </w:tc>
      </w:tr>
      <w:tr>
        <w:trPr>
          <w:trHeight w:val="419"/>
        </w:trPr>
        <w:tc>
          <w:tcPr>
            <w:tcW w:w="2200" w:type="dxa"/>
            <w:vAlign w:val="bottom"/>
          </w:tcPr>
          <w:p>
            <w:pPr>
              <w:ind w:left="660"/>
              <w:spacing w:after="0"/>
              <w:rPr>
                <w:sz w:val="20"/>
                <w:szCs w:val="20"/>
                <w:color w:val="auto"/>
              </w:rPr>
            </w:pPr>
            <w:r>
              <w:rPr>
                <w:rFonts w:ascii="Arial" w:cs="Arial" w:eastAsia="Arial" w:hAnsi="Arial"/>
                <w:sz w:val="18"/>
                <w:szCs w:val="18"/>
                <w:b w:val="1"/>
                <w:bCs w:val="1"/>
                <w:color w:val="auto"/>
              </w:rPr>
              <w:t>Section 1.10</w:t>
            </w:r>
          </w:p>
        </w:tc>
        <w:tc>
          <w:tcPr>
            <w:tcW w:w="360" w:type="dxa"/>
            <w:vAlign w:val="bottom"/>
          </w:tcPr>
          <w:p>
            <w:pPr>
              <w:spacing w:after="0"/>
              <w:rPr>
                <w:sz w:val="24"/>
                <w:szCs w:val="24"/>
                <w:color w:val="auto"/>
              </w:rPr>
            </w:pPr>
          </w:p>
        </w:tc>
        <w:tc>
          <w:tcPr>
            <w:tcW w:w="8820" w:type="dxa"/>
            <w:vAlign w:val="bottom"/>
            <w:gridSpan w:val="4"/>
          </w:tcPr>
          <w:p>
            <w:pP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Company</w:t>
            </w:r>
            <w:r>
              <w:rPr>
                <w:rFonts w:ascii="Arial" w:cs="Arial" w:eastAsia="Arial" w:hAnsi="Arial"/>
                <w:sz w:val="18"/>
                <w:szCs w:val="18"/>
                <w:color w:val="auto"/>
                <w:w w:val="91"/>
              </w:rPr>
              <w:t>” shall mean Noah Holdings Limited, Ltd., a company incorporated and existing under the laws of the Cayman</w:t>
            </w:r>
          </w:p>
        </w:tc>
      </w:tr>
      <w:tr>
        <w:trPr>
          <w:trHeight w:val="237"/>
        </w:trPr>
        <w:tc>
          <w:tcPr>
            <w:tcW w:w="2200" w:type="dxa"/>
            <w:vAlign w:val="bottom"/>
          </w:tcPr>
          <w:p>
            <w:pPr>
              <w:spacing w:after="0"/>
              <w:rPr>
                <w:sz w:val="20"/>
                <w:szCs w:val="20"/>
                <w:color w:val="auto"/>
              </w:rPr>
            </w:pPr>
            <w:r>
              <w:rPr>
                <w:rFonts w:ascii="Arial" w:cs="Arial" w:eastAsia="Arial" w:hAnsi="Arial"/>
                <w:sz w:val="18"/>
                <w:szCs w:val="18"/>
                <w:color w:val="auto"/>
                <w:w w:val="99"/>
              </w:rPr>
              <w:t>Islands, and its successors.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880" w:type="dxa"/>
            <w:vAlign w:val="bottom"/>
          </w:tcPr>
          <w:p>
            <w:pPr>
              <w:spacing w:after="0"/>
              <w:rPr>
                <w:sz w:val="20"/>
                <w:szCs w:val="20"/>
                <w:color w:val="auto"/>
              </w:rPr>
            </w:pPr>
          </w:p>
        </w:tc>
      </w:tr>
      <w:tr>
        <w:trPr>
          <w:trHeight w:val="419"/>
        </w:trPr>
        <w:tc>
          <w:tcPr>
            <w:tcW w:w="2200" w:type="dxa"/>
            <w:vAlign w:val="bottom"/>
          </w:tcPr>
          <w:p>
            <w:pPr>
              <w:ind w:left="660"/>
              <w:spacing w:after="0"/>
              <w:rPr>
                <w:sz w:val="20"/>
                <w:szCs w:val="20"/>
                <w:color w:val="auto"/>
              </w:rPr>
            </w:pPr>
            <w:r>
              <w:rPr>
                <w:rFonts w:ascii="Arial" w:cs="Arial" w:eastAsia="Arial" w:hAnsi="Arial"/>
                <w:sz w:val="18"/>
                <w:szCs w:val="18"/>
                <w:b w:val="1"/>
                <w:bCs w:val="1"/>
                <w:color w:val="auto"/>
              </w:rPr>
              <w:t>Section 1.11</w:t>
            </w:r>
          </w:p>
        </w:tc>
        <w:tc>
          <w:tcPr>
            <w:tcW w:w="360" w:type="dxa"/>
            <w:vAlign w:val="bottom"/>
          </w:tcPr>
          <w:p>
            <w:pPr>
              <w:spacing w:after="0"/>
              <w:rPr>
                <w:sz w:val="24"/>
                <w:szCs w:val="24"/>
                <w:color w:val="auto"/>
              </w:rPr>
            </w:pPr>
          </w:p>
        </w:tc>
        <w:tc>
          <w:tcPr>
            <w:tcW w:w="8820" w:type="dxa"/>
            <w:vAlign w:val="bottom"/>
            <w:gridSpan w:val="4"/>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Custodian</w:t>
            </w:r>
            <w:r>
              <w:rPr>
                <w:rFonts w:ascii="Arial" w:cs="Arial" w:eastAsia="Arial" w:hAnsi="Arial"/>
                <w:sz w:val="18"/>
                <w:szCs w:val="18"/>
                <w:color w:val="auto"/>
                <w:w w:val="92"/>
              </w:rPr>
              <w:t>” shall mean (i) as of the date hereof, Citibank, N.A. - Hong Kong, having its principal office at 10/F, Harbour</w:t>
            </w:r>
          </w:p>
        </w:tc>
      </w:tr>
      <w:tr>
        <w:trPr>
          <w:trHeight w:val="20"/>
        </w:trPr>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bl>
    <w:p>
      <w:pPr>
        <w:spacing w:after="0" w:line="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Front (II), 22, Tak Fung Street, Hung Hom, Kowloon, Hong Kong, as the custodian for the purposes of the Deposit Agreement, (ii) Citibank, N.A., acting as custodian of Deposited Securities pursuant to the Deposit Agreement, and (iii) any other entity that may be appointed by the Depositary pursuant to the terms of Section 5.5 as successor, substitute or additional custodian hereunder. The term “Custodian&amp;# 8221; shall mean any Custodian individually or all Custodians collectively, as the context requires.</w:t>
      </w:r>
    </w:p>
    <w:p>
      <w:pPr>
        <w:spacing w:after="0" w:line="210" w:lineRule="exact"/>
        <w:rPr>
          <w:sz w:val="20"/>
          <w:szCs w:val="20"/>
          <w:color w:val="auto"/>
        </w:rPr>
      </w:pPr>
    </w:p>
    <w:p>
      <w:pPr>
        <w:jc w:val="both"/>
        <w:ind w:right="520" w:firstLine="648"/>
        <w:spacing w:after="0" w:line="347" w:lineRule="auto"/>
        <w:rPr>
          <w:sz w:val="20"/>
          <w:szCs w:val="20"/>
          <w:color w:val="auto"/>
        </w:rPr>
      </w:pPr>
      <w:r>
        <w:rPr>
          <w:rFonts w:ascii="Arial" w:cs="Arial" w:eastAsia="Arial" w:hAnsi="Arial"/>
          <w:sz w:val="16"/>
          <w:szCs w:val="16"/>
          <w:b w:val="1"/>
          <w:bCs w:val="1"/>
          <w:color w:val="auto"/>
        </w:rPr>
        <w:t xml:space="preserve">Section 1.12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Deliver</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Delivery</w:t>
      </w:r>
      <w:r>
        <w:rPr>
          <w:rFonts w:ascii="Arial" w:cs="Arial" w:eastAsia="Arial" w:hAnsi="Arial"/>
          <w:sz w:val="16"/>
          <w:szCs w:val="16"/>
          <w:color w:val="auto"/>
        </w:rPr>
        <w:t>” shall mean when used in respect of ADSs, Deposited Securities and Shares, either (i) the</w:t>
      </w:r>
      <w:r>
        <w:rPr>
          <w:rFonts w:ascii="Arial" w:cs="Arial" w:eastAsia="Arial" w:hAnsi="Arial"/>
          <w:sz w:val="16"/>
          <w:szCs w:val="16"/>
          <w:b w:val="1"/>
          <w:bCs w:val="1"/>
          <w:color w:val="auto"/>
        </w:rPr>
        <w:t xml:space="preserve"> </w:t>
      </w:r>
      <w:r>
        <w:rPr>
          <w:rFonts w:ascii="Arial" w:cs="Arial" w:eastAsia="Arial" w:hAnsi="Arial"/>
          <w:sz w:val="16"/>
          <w:szCs w:val="16"/>
          <w:color w:val="auto"/>
        </w:rPr>
        <w:t>physical delivery of certificate(s) representing such securities, or (ii) electronic delivery of such securities by means of book-entry transfer, if available.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ind w:left="660"/>
              <w:spacing w:after="0"/>
              <w:rPr>
                <w:sz w:val="20"/>
                <w:szCs w:val="20"/>
                <w:color w:val="auto"/>
              </w:rPr>
            </w:pPr>
            <w:r>
              <w:rPr>
                <w:rFonts w:ascii="Arial" w:cs="Arial" w:eastAsia="Arial" w:hAnsi="Arial"/>
                <w:sz w:val="18"/>
                <w:szCs w:val="18"/>
                <w:b w:val="1"/>
                <w:bCs w:val="1"/>
                <w:color w:val="auto"/>
              </w:rPr>
              <w:t>Section 1.13</w:t>
            </w:r>
          </w:p>
        </w:tc>
        <w:tc>
          <w:tcPr>
            <w:tcW w:w="9220" w:type="dxa"/>
            <w:vAlign w:val="bottom"/>
            <w:gridSpan w:val="5"/>
          </w:tcPr>
          <w:p>
            <w:pPr>
              <w:ind w:left="4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Deposit Agreement</w:t>
            </w:r>
            <w:r>
              <w:rPr>
                <w:rFonts w:ascii="Arial" w:cs="Arial" w:eastAsia="Arial" w:hAnsi="Arial"/>
                <w:sz w:val="18"/>
                <w:szCs w:val="18"/>
                <w:color w:val="auto"/>
                <w:w w:val="91"/>
              </w:rPr>
              <w:t>” shall mean this Deposit Agreement and all exhibits hereto, as the same may from time to time be</w:t>
            </w:r>
          </w:p>
        </w:tc>
      </w:tr>
      <w:tr>
        <w:trPr>
          <w:trHeight w:val="20"/>
        </w:trPr>
        <w:tc>
          <w:tcPr>
            <w:tcW w:w="264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37"/>
        </w:trPr>
        <w:tc>
          <w:tcPr>
            <w:tcW w:w="11300" w:type="dxa"/>
            <w:vAlign w:val="bottom"/>
            <w:gridSpan w:val="6"/>
          </w:tcPr>
          <w:p>
            <w:pPr>
              <w:spacing w:after="0"/>
              <w:rPr>
                <w:sz w:val="20"/>
                <w:szCs w:val="20"/>
                <w:color w:val="auto"/>
              </w:rPr>
            </w:pPr>
            <w:r>
              <w:rPr>
                <w:rFonts w:ascii="Arial" w:cs="Arial" w:eastAsia="Arial" w:hAnsi="Arial"/>
                <w:sz w:val="18"/>
                <w:szCs w:val="18"/>
                <w:color w:val="auto"/>
              </w:rPr>
              <w:t>amended and supplemented from time to time in accordance with the terms of the Deposit Agreement.</w:t>
            </w:r>
          </w:p>
        </w:tc>
      </w:tr>
      <w:tr>
        <w:trPr>
          <w:trHeight w:val="419"/>
        </w:trPr>
        <w:tc>
          <w:tcPr>
            <w:tcW w:w="2080" w:type="dxa"/>
            <w:vAlign w:val="bottom"/>
          </w:tcPr>
          <w:p>
            <w:pPr>
              <w:ind w:left="660"/>
              <w:spacing w:after="0"/>
              <w:rPr>
                <w:sz w:val="20"/>
                <w:szCs w:val="20"/>
                <w:color w:val="auto"/>
              </w:rPr>
            </w:pPr>
            <w:r>
              <w:rPr>
                <w:rFonts w:ascii="Arial" w:cs="Arial" w:eastAsia="Arial" w:hAnsi="Arial"/>
                <w:sz w:val="18"/>
                <w:szCs w:val="18"/>
                <w:b w:val="1"/>
                <w:bCs w:val="1"/>
                <w:color w:val="auto"/>
              </w:rPr>
              <w:t>Section 1.14</w:t>
            </w:r>
          </w:p>
        </w:tc>
        <w:tc>
          <w:tcPr>
            <w:tcW w:w="9220" w:type="dxa"/>
            <w:vAlign w:val="bottom"/>
            <w:gridSpan w:val="5"/>
          </w:tcPr>
          <w:p>
            <w:pPr>
              <w:ind w:left="4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Depositary</w:t>
            </w:r>
            <w:r>
              <w:rPr>
                <w:rFonts w:ascii="Arial" w:cs="Arial" w:eastAsia="Arial" w:hAnsi="Arial"/>
                <w:sz w:val="18"/>
                <w:szCs w:val="18"/>
                <w:color w:val="auto"/>
                <w:w w:val="91"/>
              </w:rPr>
              <w:t>” shall mean Citibank, N.A., a national banking association organized under the laws of the United States, in</w:t>
            </w:r>
          </w:p>
        </w:tc>
      </w:tr>
      <w:tr>
        <w:trPr>
          <w:trHeight w:val="20"/>
        </w:trPr>
        <w:tc>
          <w:tcPr>
            <w:tcW w:w="264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37"/>
        </w:trPr>
        <w:tc>
          <w:tcPr>
            <w:tcW w:w="11300" w:type="dxa"/>
            <w:vAlign w:val="bottom"/>
            <w:gridSpan w:val="6"/>
          </w:tcPr>
          <w:p>
            <w:pPr>
              <w:spacing w:after="0"/>
              <w:rPr>
                <w:sz w:val="20"/>
                <w:szCs w:val="20"/>
                <w:color w:val="auto"/>
              </w:rPr>
            </w:pPr>
            <w:r>
              <w:rPr>
                <w:rFonts w:ascii="Arial" w:cs="Arial" w:eastAsia="Arial" w:hAnsi="Arial"/>
                <w:sz w:val="18"/>
                <w:szCs w:val="18"/>
                <w:color w:val="auto"/>
              </w:rPr>
              <w:t>its capacity as depositary under the terms of the Deposit Agreement, and any successor depositary hereunder.</w:t>
            </w:r>
          </w:p>
        </w:tc>
      </w:tr>
      <w:tr>
        <w:trPr>
          <w:trHeight w:val="419"/>
        </w:trPr>
        <w:tc>
          <w:tcPr>
            <w:tcW w:w="2080" w:type="dxa"/>
            <w:vAlign w:val="bottom"/>
          </w:tcPr>
          <w:p>
            <w:pPr>
              <w:ind w:left="660"/>
              <w:spacing w:after="0"/>
              <w:rPr>
                <w:sz w:val="20"/>
                <w:szCs w:val="20"/>
                <w:color w:val="auto"/>
              </w:rPr>
            </w:pPr>
            <w:r>
              <w:rPr>
                <w:rFonts w:ascii="Arial" w:cs="Arial" w:eastAsia="Arial" w:hAnsi="Arial"/>
                <w:sz w:val="18"/>
                <w:szCs w:val="18"/>
                <w:b w:val="1"/>
                <w:bCs w:val="1"/>
                <w:color w:val="auto"/>
              </w:rPr>
              <w:t>Section 1.15</w:t>
            </w:r>
          </w:p>
        </w:tc>
        <w:tc>
          <w:tcPr>
            <w:tcW w:w="9220" w:type="dxa"/>
            <w:vAlign w:val="bottom"/>
            <w:gridSpan w:val="5"/>
          </w:tcPr>
          <w:p>
            <w:pPr>
              <w:ind w:left="4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Deposited Securities</w:t>
            </w:r>
            <w:r>
              <w:rPr>
                <w:rFonts w:ascii="Arial" w:cs="Arial" w:eastAsia="Arial" w:hAnsi="Arial"/>
                <w:sz w:val="18"/>
                <w:szCs w:val="18"/>
                <w:color w:val="auto"/>
                <w:w w:val="93"/>
              </w:rPr>
              <w:t>” shall mean Shares at any time deposited under the Deposit Agreement and any and all other</w:t>
            </w:r>
          </w:p>
        </w:tc>
      </w:tr>
      <w:tr>
        <w:trPr>
          <w:trHeight w:val="20"/>
        </w:trPr>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bl>
    <w:p>
      <w:pPr>
        <w:spacing w:after="0" w:line="1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securities, property and cash held by the Depositary or the Custodian in respect thereof, subject, in the case of cash, to the provisions of Section 4.8. The collateral delivered in connection with Pre-Release Transactions described in Section 5.10 shall not constitute Deposited Securities.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b w:val="1"/>
                <w:bCs w:val="1"/>
                <w:color w:val="auto"/>
              </w:rPr>
              <w:t>Section 1.16</w:t>
            </w:r>
          </w:p>
        </w:tc>
        <w:tc>
          <w:tcPr>
            <w:tcW w:w="9280" w:type="dxa"/>
            <w:vAlign w:val="bottom"/>
            <w:gridSpan w:val="6"/>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”shall refer to the lawful currency of the United States.</w:t>
            </w:r>
          </w:p>
        </w:tc>
      </w:tr>
      <w:tr>
        <w:trPr>
          <w:trHeight w:val="20"/>
        </w:trPr>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439"/>
        </w:trPr>
        <w:tc>
          <w:tcPr>
            <w:tcW w:w="1420" w:type="dxa"/>
            <w:vAlign w:val="bottom"/>
          </w:tcPr>
          <w:p>
            <w:pPr>
              <w:spacing w:after="0"/>
              <w:rPr>
                <w:sz w:val="20"/>
                <w:szCs w:val="20"/>
                <w:color w:val="auto"/>
              </w:rPr>
            </w:pPr>
            <w:r>
              <w:rPr>
                <w:rFonts w:ascii="Arial" w:cs="Arial" w:eastAsia="Arial" w:hAnsi="Arial"/>
                <w:sz w:val="18"/>
                <w:szCs w:val="18"/>
                <w:b w:val="1"/>
                <w:bCs w:val="1"/>
                <w:color w:val="auto"/>
              </w:rPr>
              <w:t>Section 1.17</w:t>
            </w:r>
          </w:p>
        </w:tc>
        <w:tc>
          <w:tcPr>
            <w:tcW w:w="9280" w:type="dxa"/>
            <w:vAlign w:val="bottom"/>
            <w:gridSpan w:val="6"/>
          </w:tcPr>
          <w:p>
            <w:pPr>
              <w:ind w:left="4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DTC</w:t>
            </w:r>
            <w:r>
              <w:rPr>
                <w:rFonts w:ascii="Arial" w:cs="Arial" w:eastAsia="Arial" w:hAnsi="Arial"/>
                <w:sz w:val="18"/>
                <w:szCs w:val="18"/>
                <w:color w:val="auto"/>
                <w:w w:val="90"/>
              </w:rPr>
              <w:t>” shall mean The Depository Trust Company, a national clearinghouse and the central book-entry settlement system</w:t>
            </w:r>
          </w:p>
        </w:tc>
      </w:tr>
      <w:tr>
        <w:trPr>
          <w:trHeight w:val="20"/>
        </w:trPr>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securities traded in the United States and, as such, the custodian for the securities of DTC Participants (as hereinafter defined) maintained in DTC, and any successor thereto.</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5" w:name="page16"/>
    <w:bookmarkEnd w:id="15"/>
    <w:p>
      <w:pPr>
        <w:ind w:left="660"/>
        <w:spacing w:after="0"/>
        <w:tabs>
          <w:tab w:leader="none" w:pos="2540" w:val="left"/>
        </w:tabs>
        <w:rPr>
          <w:sz w:val="20"/>
          <w:szCs w:val="20"/>
          <w:color w:val="auto"/>
        </w:rPr>
      </w:pPr>
      <w:r>
        <w:rPr>
          <w:rFonts w:ascii="Arial" w:cs="Arial" w:eastAsia="Arial" w:hAnsi="Arial"/>
          <w:sz w:val="18"/>
          <w:szCs w:val="18"/>
          <w:b w:val="1"/>
          <w:bCs w:val="1"/>
          <w:color w:val="auto"/>
        </w:rPr>
        <w:t>Section 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DTC Participant</w:t>
      </w:r>
      <w:r>
        <w:rPr>
          <w:rFonts w:ascii="Arial" w:cs="Arial" w:eastAsia="Arial" w:hAnsi="Arial"/>
          <w:sz w:val="16"/>
          <w:szCs w:val="16"/>
          <w:color w:val="auto"/>
        </w:rPr>
        <w:t>” shall mean any financial institution (or any nominee of such institution) having one or more</w:t>
      </w:r>
    </w:p>
    <w:p>
      <w:pPr>
        <w:spacing w:after="0" w:line="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participant 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 thority to act on behalf of the Beneficial Owner(s) of the ADSs credited to its account at DTC or in respect of which the DTC Participant is so acting.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ind w:left="660"/>
              <w:spacing w:after="0"/>
              <w:rPr>
                <w:sz w:val="20"/>
                <w:szCs w:val="20"/>
                <w:color w:val="auto"/>
              </w:rPr>
            </w:pPr>
            <w:r>
              <w:rPr>
                <w:rFonts w:ascii="Arial" w:cs="Arial" w:eastAsia="Arial" w:hAnsi="Arial"/>
                <w:sz w:val="18"/>
                <w:szCs w:val="18"/>
                <w:b w:val="1"/>
                <w:bCs w:val="1"/>
                <w:color w:val="auto"/>
              </w:rPr>
              <w:t>Section 1.19</w:t>
            </w:r>
          </w:p>
        </w:tc>
        <w:tc>
          <w:tcPr>
            <w:tcW w:w="8540" w:type="dxa"/>
            <w:vAlign w:val="bottom"/>
            <w:gridSpan w:val="10"/>
          </w:tcPr>
          <w:p>
            <w:pPr>
              <w:ind w:left="2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Exchange Act</w:t>
            </w:r>
            <w:r>
              <w:rPr>
                <w:rFonts w:ascii="Arial" w:cs="Arial" w:eastAsia="Arial" w:hAnsi="Arial"/>
                <w:sz w:val="18"/>
                <w:szCs w:val="18"/>
                <w:color w:val="auto"/>
                <w:w w:val="96"/>
              </w:rPr>
              <w:t>” shall mean the United States Securities Exchange Act of 1934, as amended from time to time.</w:t>
            </w: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39"/>
        </w:trPr>
        <w:tc>
          <w:tcPr>
            <w:tcW w:w="2540" w:type="dxa"/>
            <w:vAlign w:val="bottom"/>
          </w:tcPr>
          <w:p>
            <w:pPr>
              <w:ind w:left="660"/>
              <w:spacing w:after="0"/>
              <w:rPr>
                <w:sz w:val="20"/>
                <w:szCs w:val="20"/>
                <w:color w:val="auto"/>
              </w:rPr>
            </w:pPr>
            <w:r>
              <w:rPr>
                <w:rFonts w:ascii="Arial" w:cs="Arial" w:eastAsia="Arial" w:hAnsi="Arial"/>
                <w:sz w:val="18"/>
                <w:szCs w:val="18"/>
                <w:b w:val="1"/>
                <w:bCs w:val="1"/>
                <w:color w:val="auto"/>
              </w:rPr>
              <w:t>Section 1.20</w:t>
            </w:r>
          </w:p>
        </w:tc>
        <w:tc>
          <w:tcPr>
            <w:tcW w:w="8540" w:type="dxa"/>
            <w:vAlign w:val="bottom"/>
            <w:gridSpan w:val="10"/>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shall mean any currency other than Dollars.</w:t>
            </w: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39"/>
        </w:trPr>
        <w:tc>
          <w:tcPr>
            <w:tcW w:w="2540" w:type="dxa"/>
            <w:vAlign w:val="bottom"/>
          </w:tcPr>
          <w:p>
            <w:pPr>
              <w:ind w:left="660"/>
              <w:spacing w:after="0"/>
              <w:rPr>
                <w:sz w:val="20"/>
                <w:szCs w:val="20"/>
                <w:color w:val="auto"/>
              </w:rPr>
            </w:pPr>
            <w:r>
              <w:rPr>
                <w:rFonts w:ascii="Arial" w:cs="Arial" w:eastAsia="Arial" w:hAnsi="Arial"/>
                <w:sz w:val="18"/>
                <w:szCs w:val="18"/>
                <w:b w:val="1"/>
                <w:bCs w:val="1"/>
                <w:color w:val="auto"/>
              </w:rPr>
              <w:t>Section 1.21</w:t>
            </w:r>
          </w:p>
        </w:tc>
        <w:tc>
          <w:tcPr>
            <w:tcW w:w="8540" w:type="dxa"/>
            <w:vAlign w:val="bottom"/>
            <w:gridSpan w:val="10"/>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Full Entitlement ADR(s)”, “Full Entitlement ADS(s)” and “Full Entitlement Share(s)”</w:t>
            </w:r>
            <w:r>
              <w:rPr>
                <w:rFonts w:ascii="Arial" w:cs="Arial" w:eastAsia="Arial" w:hAnsi="Arial"/>
                <w:sz w:val="18"/>
                <w:szCs w:val="18"/>
                <w:color w:val="auto"/>
                <w:w w:val="92"/>
              </w:rPr>
              <w:t xml:space="preserve"> shall have the respective</w:t>
            </w:r>
          </w:p>
        </w:tc>
      </w:tr>
      <w:tr>
        <w:trPr>
          <w:trHeight w:val="237"/>
        </w:trPr>
        <w:tc>
          <w:tcPr>
            <w:tcW w:w="2540" w:type="dxa"/>
            <w:vAlign w:val="bottom"/>
          </w:tcPr>
          <w:p>
            <w:pPr>
              <w:spacing w:after="0"/>
              <w:rPr>
                <w:sz w:val="20"/>
                <w:szCs w:val="20"/>
                <w:color w:val="auto"/>
              </w:rPr>
            </w:pPr>
            <w:r>
              <w:rPr>
                <w:rFonts w:ascii="Arial" w:cs="Arial" w:eastAsia="Arial" w:hAnsi="Arial"/>
                <w:sz w:val="18"/>
                <w:szCs w:val="18"/>
                <w:color w:val="auto"/>
                <w:w w:val="90"/>
              </w:rPr>
              <w:t>meanings set forth in Section 2.12.</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900" w:type="dxa"/>
            <w:vAlign w:val="bottom"/>
          </w:tcPr>
          <w:p>
            <w:pPr>
              <w:spacing w:after="0"/>
              <w:rPr>
                <w:sz w:val="20"/>
                <w:szCs w:val="20"/>
                <w:color w:val="auto"/>
              </w:rPr>
            </w:pPr>
          </w:p>
        </w:tc>
      </w:tr>
      <w:tr>
        <w:trPr>
          <w:trHeight w:val="419"/>
        </w:trPr>
        <w:tc>
          <w:tcPr>
            <w:tcW w:w="2540" w:type="dxa"/>
            <w:vAlign w:val="bottom"/>
          </w:tcPr>
          <w:p>
            <w:pPr>
              <w:ind w:left="660"/>
              <w:spacing w:after="0"/>
              <w:rPr>
                <w:sz w:val="20"/>
                <w:szCs w:val="20"/>
                <w:color w:val="auto"/>
              </w:rPr>
            </w:pPr>
            <w:r>
              <w:rPr>
                <w:rFonts w:ascii="Arial" w:cs="Arial" w:eastAsia="Arial" w:hAnsi="Arial"/>
                <w:sz w:val="18"/>
                <w:szCs w:val="18"/>
                <w:b w:val="1"/>
                <w:bCs w:val="1"/>
                <w:color w:val="auto"/>
              </w:rPr>
              <w:t>Section 1.22</w:t>
            </w:r>
          </w:p>
        </w:tc>
        <w:tc>
          <w:tcPr>
            <w:tcW w:w="8540" w:type="dxa"/>
            <w:vAlign w:val="bottom"/>
            <w:gridSpan w:val="10"/>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Holder(s)</w:t>
            </w:r>
            <w:r>
              <w:rPr>
                <w:rFonts w:ascii="Arial" w:cs="Arial" w:eastAsia="Arial" w:hAnsi="Arial"/>
                <w:sz w:val="18"/>
                <w:szCs w:val="18"/>
                <w:color w:val="auto"/>
                <w:w w:val="92"/>
              </w:rPr>
              <w:t>” shall mean the person(s) in whose name the ADSs are registered on the books of the Depositary (or the</w:t>
            </w: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Registrar, if 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ind w:left="660"/>
              <w:spacing w:after="0"/>
              <w:rPr>
                <w:sz w:val="20"/>
                <w:szCs w:val="20"/>
                <w:color w:val="auto"/>
              </w:rPr>
            </w:pPr>
            <w:r>
              <w:rPr>
                <w:rFonts w:ascii="Arial" w:cs="Arial" w:eastAsia="Arial" w:hAnsi="Arial"/>
                <w:sz w:val="18"/>
                <w:szCs w:val="18"/>
                <w:b w:val="1"/>
                <w:bCs w:val="1"/>
                <w:color w:val="auto"/>
              </w:rPr>
              <w:t>Section 1.23</w:t>
            </w:r>
          </w:p>
        </w:tc>
        <w:tc>
          <w:tcPr>
            <w:tcW w:w="9320" w:type="dxa"/>
            <w:vAlign w:val="bottom"/>
            <w:gridSpan w:val="9"/>
          </w:tcPr>
          <w:p>
            <w:pPr>
              <w:ind w:left="480"/>
              <w:spacing w:after="0"/>
              <w:rPr>
                <w:sz w:val="20"/>
                <w:szCs w:val="20"/>
                <w:color w:val="auto"/>
              </w:rPr>
            </w:pPr>
            <w:r>
              <w:rPr>
                <w:rFonts w:ascii="Arial" w:cs="Arial" w:eastAsia="Arial" w:hAnsi="Arial"/>
                <w:sz w:val="18"/>
                <w:szCs w:val="18"/>
                <w:b w:val="1"/>
                <w:bCs w:val="1"/>
                <w:color w:val="auto"/>
                <w:w w:val="97"/>
              </w:rPr>
              <w:t xml:space="preserve">“Partial Entitlement ADR(s)”, “Partial Entitlement ADS(s)” and “Partial Entitlement Share(s)” </w:t>
            </w:r>
            <w:r>
              <w:rPr>
                <w:rFonts w:ascii="Arial" w:cs="Arial" w:eastAsia="Arial" w:hAnsi="Arial"/>
                <w:sz w:val="18"/>
                <w:szCs w:val="18"/>
                <w:color w:val="auto"/>
                <w:w w:val="97"/>
              </w:rPr>
              <w:t>shall have the</w:t>
            </w:r>
          </w:p>
        </w:tc>
      </w:tr>
      <w:tr>
        <w:trPr>
          <w:trHeight w:val="20"/>
        </w:trPr>
        <w:tc>
          <w:tcPr>
            <w:tcW w:w="266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11400" w:type="dxa"/>
            <w:vAlign w:val="bottom"/>
            <w:gridSpan w:val="10"/>
          </w:tcPr>
          <w:p>
            <w:pPr>
              <w:spacing w:after="0"/>
              <w:rPr>
                <w:sz w:val="20"/>
                <w:szCs w:val="20"/>
                <w:color w:val="auto"/>
              </w:rPr>
            </w:pPr>
            <w:r>
              <w:rPr>
                <w:rFonts w:ascii="Arial" w:cs="Arial" w:eastAsia="Arial" w:hAnsi="Arial"/>
                <w:sz w:val="18"/>
                <w:szCs w:val="18"/>
                <w:color w:val="auto"/>
              </w:rPr>
              <w:t>respective meanings set fort h in Section 2.12.</w:t>
            </w:r>
          </w:p>
        </w:tc>
      </w:tr>
      <w:tr>
        <w:trPr>
          <w:trHeight w:val="419"/>
        </w:trPr>
        <w:tc>
          <w:tcPr>
            <w:tcW w:w="2080" w:type="dxa"/>
            <w:vAlign w:val="bottom"/>
          </w:tcPr>
          <w:p>
            <w:pPr>
              <w:ind w:left="660"/>
              <w:spacing w:after="0"/>
              <w:rPr>
                <w:sz w:val="20"/>
                <w:szCs w:val="20"/>
                <w:color w:val="auto"/>
              </w:rPr>
            </w:pPr>
            <w:r>
              <w:rPr>
                <w:rFonts w:ascii="Arial" w:cs="Arial" w:eastAsia="Arial" w:hAnsi="Arial"/>
                <w:sz w:val="18"/>
                <w:szCs w:val="18"/>
                <w:b w:val="1"/>
                <w:bCs w:val="1"/>
                <w:color w:val="auto"/>
              </w:rPr>
              <w:t>Section 1.24</w:t>
            </w:r>
          </w:p>
        </w:tc>
        <w:tc>
          <w:tcPr>
            <w:tcW w:w="9320" w:type="dxa"/>
            <w:vAlign w:val="bottom"/>
            <w:gridSpan w:val="9"/>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Pre-Release Transaction</w:t>
            </w:r>
            <w:r>
              <w:rPr>
                <w:rFonts w:ascii="Arial" w:cs="Arial" w:eastAsia="Arial" w:hAnsi="Arial"/>
                <w:sz w:val="18"/>
                <w:szCs w:val="18"/>
                <w:color w:val="auto"/>
              </w:rPr>
              <w:t>” shall have the meaning set forth in Section 5.10.</w:t>
            </w:r>
          </w:p>
        </w:tc>
      </w:tr>
      <w:tr>
        <w:trPr>
          <w:trHeight w:val="20"/>
        </w:trPr>
        <w:tc>
          <w:tcPr>
            <w:tcW w:w="208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80" w:type="dxa"/>
            <w:vAlign w:val="bottom"/>
            <w:gridSpan w:val="6"/>
          </w:tcPr>
          <w:p>
            <w:pPr>
              <w:spacing w:after="0" w:line="20" w:lineRule="exact"/>
              <w:rPr>
                <w:sz w:val="1"/>
                <w:szCs w:val="1"/>
                <w:color w:val="auto"/>
              </w:rPr>
            </w:pPr>
          </w:p>
        </w:tc>
      </w:tr>
      <w:tr>
        <w:trPr>
          <w:trHeight w:val="439"/>
        </w:trPr>
        <w:tc>
          <w:tcPr>
            <w:tcW w:w="2080" w:type="dxa"/>
            <w:vAlign w:val="bottom"/>
          </w:tcPr>
          <w:p>
            <w:pPr>
              <w:ind w:left="660"/>
              <w:spacing w:after="0"/>
              <w:rPr>
                <w:sz w:val="20"/>
                <w:szCs w:val="20"/>
                <w:color w:val="auto"/>
              </w:rPr>
            </w:pPr>
            <w:r>
              <w:rPr>
                <w:rFonts w:ascii="Arial" w:cs="Arial" w:eastAsia="Arial" w:hAnsi="Arial"/>
                <w:sz w:val="18"/>
                <w:szCs w:val="18"/>
                <w:b w:val="1"/>
                <w:bCs w:val="1"/>
                <w:color w:val="auto"/>
              </w:rPr>
              <w:t>Section 1.25</w:t>
            </w:r>
          </w:p>
        </w:tc>
        <w:tc>
          <w:tcPr>
            <w:tcW w:w="9320" w:type="dxa"/>
            <w:vAlign w:val="bottom"/>
            <w:gridSpan w:val="9"/>
          </w:tcPr>
          <w:p>
            <w:pPr>
              <w:ind w:left="4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Principal Office</w:t>
            </w:r>
            <w:r>
              <w:rPr>
                <w:rFonts w:ascii="Arial" w:cs="Arial" w:eastAsia="Arial" w:hAnsi="Arial"/>
                <w:sz w:val="18"/>
                <w:szCs w:val="18"/>
                <w:color w:val="auto"/>
                <w:w w:val="91"/>
              </w:rPr>
              <w:t>” shall mean, when used with respect to the Depositary, the principal office of the Depositary at which at</w:t>
            </w:r>
          </w:p>
        </w:tc>
      </w:tr>
      <w:tr>
        <w:trPr>
          <w:trHeight w:val="20"/>
        </w:trPr>
        <w:tc>
          <w:tcPr>
            <w:tcW w:w="208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any particular time its depositary receipts business shall be administered, which, at the date of the Deposit Agreement, is located at 388 Greenwich Street, New York, New York 10013, U.S.A.</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 xml:space="preserve">Section 1.26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Registrar</w:t>
      </w:r>
      <w:r>
        <w:rPr>
          <w:rFonts w:ascii="Arial" w:cs="Arial" w:eastAsia="Arial" w:hAnsi="Arial"/>
          <w:sz w:val="17"/>
          <w:szCs w:val="17"/>
          <w:color w:val="auto"/>
        </w:rPr>
        <w:t>” shall mean the Depositary or any bank or trust company having an office in the Borough of Manhattan, The</w:t>
      </w:r>
      <w:r>
        <w:rPr>
          <w:rFonts w:ascii="Arial" w:cs="Arial" w:eastAsia="Arial" w:hAnsi="Arial"/>
          <w:sz w:val="17"/>
          <w:szCs w:val="17"/>
          <w:b w:val="1"/>
          <w:bCs w:val="1"/>
          <w:color w:val="auto"/>
        </w:rPr>
        <w:t xml:space="preserve"> </w:t>
      </w:r>
      <w:r>
        <w:rPr>
          <w:rFonts w:ascii="Arial" w:cs="Arial" w:eastAsia="Arial" w:hAnsi="Arial"/>
          <w:sz w:val="17"/>
          <w:szCs w:val="17"/>
          <w:color w:val="auto"/>
        </w:rPr>
        <w:t>City of 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9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b w:val="1"/>
          <w:bCs w:val="1"/>
          <w:color w:val="auto"/>
        </w:rPr>
        <w:t xml:space="preserve">Section 1.27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Restricted Securities</w:t>
      </w:r>
      <w:r>
        <w:rPr>
          <w:rFonts w:ascii="Arial" w:cs="Arial" w:eastAsia="Arial" w:hAnsi="Arial"/>
          <w:sz w:val="17"/>
          <w:szCs w:val="17"/>
          <w:color w:val="auto"/>
        </w:rPr>
        <w:t>” shall mean Shares, Deposited Securities or ADSs which (i) have been acquired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indirectly from the Company or any of its Affiliates in a transaction or chain of transactions not involving any public offering and are subject to resale limitations under the Securities Act or the rules issued thereunder, or (ii) are held by an officer or director (or persons performing similar functions) or other Affiliate of the Company, or (iii) are subject to other restrictions on sale or deposit under the laws of t he United States, the Cayman Islands, or under a shareholder agreement or the Articles of Association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2080" w:type="dxa"/>
            <w:vAlign w:val="bottom"/>
          </w:tcPr>
          <w:p>
            <w:pPr>
              <w:ind w:left="660"/>
              <w:spacing w:after="0"/>
              <w:rPr>
                <w:sz w:val="20"/>
                <w:szCs w:val="20"/>
                <w:color w:val="auto"/>
              </w:rPr>
            </w:pPr>
            <w:r>
              <w:rPr>
                <w:rFonts w:ascii="Arial" w:cs="Arial" w:eastAsia="Arial" w:hAnsi="Arial"/>
                <w:sz w:val="18"/>
                <w:szCs w:val="18"/>
                <w:b w:val="1"/>
                <w:bCs w:val="1"/>
                <w:color w:val="auto"/>
              </w:rPr>
              <w:t>Section 1.28</w:t>
            </w:r>
          </w:p>
        </w:tc>
        <w:tc>
          <w:tcPr>
            <w:tcW w:w="9120" w:type="dxa"/>
            <w:vAlign w:val="bottom"/>
            <w:gridSpan w:val="9"/>
          </w:tcPr>
          <w:p>
            <w:pPr>
              <w:ind w:left="540"/>
              <w:spacing w:after="0"/>
              <w:rPr>
                <w:sz w:val="20"/>
                <w:szCs w:val="20"/>
                <w:color w:val="auto"/>
              </w:rPr>
            </w:pPr>
            <w:r>
              <w:rPr>
                <w:rFonts w:ascii="Arial" w:cs="Arial" w:eastAsia="Arial" w:hAnsi="Arial"/>
                <w:sz w:val="18"/>
                <w:szCs w:val="18"/>
                <w:b w:val="1"/>
                <w:bCs w:val="1"/>
                <w:color w:val="auto"/>
                <w:w w:val="90"/>
              </w:rPr>
              <w:t xml:space="preserve">“Restricted ADR(s)”, “Restricted ADS(s)” and “Restricted Shares” </w:t>
            </w:r>
            <w:r>
              <w:rPr>
                <w:rFonts w:ascii="Arial" w:cs="Arial" w:eastAsia="Arial" w:hAnsi="Arial"/>
                <w:sz w:val="18"/>
                <w:szCs w:val="18"/>
                <w:color w:val="auto"/>
                <w:w w:val="90"/>
              </w:rPr>
              <w:t>shall have the respective meanings set forth in</w:t>
            </w:r>
          </w:p>
        </w:tc>
      </w:tr>
      <w:tr>
        <w:trPr>
          <w:trHeight w:val="237"/>
        </w:trPr>
        <w:tc>
          <w:tcPr>
            <w:tcW w:w="2080" w:type="dxa"/>
            <w:vAlign w:val="bottom"/>
          </w:tcPr>
          <w:p>
            <w:pPr>
              <w:spacing w:after="0"/>
              <w:rPr>
                <w:sz w:val="20"/>
                <w:szCs w:val="20"/>
                <w:color w:val="auto"/>
              </w:rPr>
            </w:pPr>
            <w:r>
              <w:rPr>
                <w:rFonts w:ascii="Arial" w:cs="Arial" w:eastAsia="Arial" w:hAnsi="Arial"/>
                <w:sz w:val="18"/>
                <w:szCs w:val="18"/>
                <w:color w:val="auto"/>
              </w:rPr>
              <w:t>Section 2.14.</w:t>
            </w:r>
          </w:p>
        </w:tc>
        <w:tc>
          <w:tcPr>
            <w:tcW w:w="6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3520" w:type="dxa"/>
            <w:vAlign w:val="bottom"/>
          </w:tcPr>
          <w:p>
            <w:pPr>
              <w:spacing w:after="0"/>
              <w:rPr>
                <w:sz w:val="20"/>
                <w:szCs w:val="20"/>
                <w:color w:val="auto"/>
              </w:rPr>
            </w:pPr>
          </w:p>
        </w:tc>
      </w:tr>
      <w:tr>
        <w:trPr>
          <w:trHeight w:val="419"/>
        </w:trPr>
        <w:tc>
          <w:tcPr>
            <w:tcW w:w="2080" w:type="dxa"/>
            <w:vAlign w:val="bottom"/>
          </w:tcPr>
          <w:p>
            <w:pPr>
              <w:ind w:left="660"/>
              <w:spacing w:after="0"/>
              <w:rPr>
                <w:sz w:val="20"/>
                <w:szCs w:val="20"/>
                <w:color w:val="auto"/>
              </w:rPr>
            </w:pPr>
            <w:r>
              <w:rPr>
                <w:rFonts w:ascii="Arial" w:cs="Arial" w:eastAsia="Arial" w:hAnsi="Arial"/>
                <w:sz w:val="18"/>
                <w:szCs w:val="18"/>
                <w:b w:val="1"/>
                <w:bCs w:val="1"/>
                <w:color w:val="auto"/>
              </w:rPr>
              <w:t>Section 1.29</w:t>
            </w:r>
          </w:p>
        </w:tc>
        <w:tc>
          <w:tcPr>
            <w:tcW w:w="9120" w:type="dxa"/>
            <w:vAlign w:val="bottom"/>
            <w:gridSpan w:val="9"/>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United States Securities Act of 1933, as amended from time to time.</w:t>
            </w:r>
          </w:p>
        </w:tc>
      </w:tr>
      <w:tr>
        <w:trPr>
          <w:trHeight w:val="20"/>
        </w:trPr>
        <w:tc>
          <w:tcPr>
            <w:tcW w:w="20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40" w:type="dxa"/>
            <w:vAlign w:val="bottom"/>
            <w:gridSpan w:val="6"/>
          </w:tcPr>
          <w:p>
            <w:pPr>
              <w:spacing w:after="0" w:line="20" w:lineRule="exact"/>
              <w:rPr>
                <w:sz w:val="1"/>
                <w:szCs w:val="1"/>
                <w:color w:val="auto"/>
              </w:rPr>
            </w:pPr>
          </w:p>
        </w:tc>
      </w:tr>
      <w:tr>
        <w:trPr>
          <w:trHeight w:val="439"/>
        </w:trPr>
        <w:tc>
          <w:tcPr>
            <w:tcW w:w="2080" w:type="dxa"/>
            <w:vAlign w:val="bottom"/>
          </w:tcPr>
          <w:p>
            <w:pPr>
              <w:ind w:left="660"/>
              <w:spacing w:after="0"/>
              <w:rPr>
                <w:sz w:val="20"/>
                <w:szCs w:val="20"/>
                <w:color w:val="auto"/>
              </w:rPr>
            </w:pPr>
            <w:r>
              <w:rPr>
                <w:rFonts w:ascii="Arial" w:cs="Arial" w:eastAsia="Arial" w:hAnsi="Arial"/>
                <w:sz w:val="18"/>
                <w:szCs w:val="18"/>
                <w:b w:val="1"/>
                <w:bCs w:val="1"/>
                <w:color w:val="auto"/>
              </w:rPr>
              <w:t>Section 1.30</w:t>
            </w:r>
          </w:p>
        </w:tc>
        <w:tc>
          <w:tcPr>
            <w:tcW w:w="9120" w:type="dxa"/>
            <w:vAlign w:val="bottom"/>
            <w:gridSpan w:val="9"/>
          </w:tcPr>
          <w:p>
            <w:pPr>
              <w:ind w:left="4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Share Registrar</w:t>
            </w:r>
            <w:r>
              <w:rPr>
                <w:rFonts w:ascii="Arial" w:cs="Arial" w:eastAsia="Arial" w:hAnsi="Arial"/>
                <w:sz w:val="18"/>
                <w:szCs w:val="18"/>
                <w:color w:val="auto"/>
                <w:w w:val="91"/>
              </w:rPr>
              <w:t>” shall mean Maples Corporate Services Limited, P O Box 309, Ugland House, Grand Cayman, KY1-</w:t>
            </w:r>
          </w:p>
        </w:tc>
      </w:tr>
      <w:tr>
        <w:trPr>
          <w:trHeight w:val="20"/>
        </w:trPr>
        <w:tc>
          <w:tcPr>
            <w:tcW w:w="20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1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1104, Cayman Islands, or any other institution organized under the laws of the Cayman Islands appointed by the Company to carry out the duties of registrar for the Shares, and any successor thereto that the Company approves.</w:t>
      </w:r>
    </w:p>
    <w:p>
      <w:pPr>
        <w:spacing w:after="0" w:line="193"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 xml:space="preserve">Section 1.31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shall mean the Company’s ordinary shares, par value $0.0005 per share, validly issued and outstanding and fully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paid and may, if the Depositary so agrees after consultation with the Company, include evidence of the right to receive Shares;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in no event shall Shares include evidence of the right to receive Shares with respect to which the full purchase price has not been paid or Shares as to w hich preemptive rights have theretofore not been validly waived or exercised;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if there shall occur any change in par or nominal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ind w:left="660"/>
              <w:spacing w:after="0"/>
              <w:rPr>
                <w:sz w:val="20"/>
                <w:szCs w:val="20"/>
                <w:color w:val="auto"/>
              </w:rPr>
            </w:pPr>
            <w:r>
              <w:rPr>
                <w:rFonts w:ascii="Arial" w:cs="Arial" w:eastAsia="Arial" w:hAnsi="Arial"/>
                <w:sz w:val="18"/>
                <w:szCs w:val="18"/>
                <w:b w:val="1"/>
                <w:bCs w:val="1"/>
                <w:color w:val="auto"/>
              </w:rPr>
              <w:t>Section 1.32</w:t>
            </w:r>
          </w:p>
        </w:tc>
        <w:tc>
          <w:tcPr>
            <w:tcW w:w="9240" w:type="dxa"/>
            <w:vAlign w:val="bottom"/>
            <w:gridSpan w:val="7"/>
          </w:tcPr>
          <w:p>
            <w:pPr>
              <w:ind w:left="380"/>
              <w:spacing w:after="0"/>
              <w:rPr>
                <w:sz w:val="20"/>
                <w:szCs w:val="20"/>
                <w:color w:val="auto"/>
              </w:rPr>
            </w:pPr>
            <w:r>
              <w:rPr>
                <w:rFonts w:ascii="Arial" w:cs="Arial" w:eastAsia="Arial" w:hAnsi="Arial"/>
                <w:sz w:val="18"/>
                <w:szCs w:val="18"/>
                <w:b w:val="1"/>
                <w:bCs w:val="1"/>
                <w:color w:val="auto"/>
              </w:rPr>
              <w:t xml:space="preserve">“Uncertificated ADS(s)” </w:t>
            </w:r>
            <w:r>
              <w:rPr>
                <w:rFonts w:ascii="Arial" w:cs="Arial" w:eastAsia="Arial" w:hAnsi="Arial"/>
                <w:sz w:val="18"/>
                <w:szCs w:val="18"/>
                <w:color w:val="auto"/>
              </w:rPr>
              <w:t>shall have the meaning set forth in Section 2.13.</w:t>
            </w:r>
          </w:p>
        </w:tc>
      </w:tr>
      <w:tr>
        <w:trPr>
          <w:trHeight w:val="20"/>
        </w:trPr>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439"/>
        </w:trPr>
        <w:tc>
          <w:tcPr>
            <w:tcW w:w="2180" w:type="dxa"/>
            <w:vAlign w:val="bottom"/>
          </w:tcPr>
          <w:p>
            <w:pPr>
              <w:ind w:left="660"/>
              <w:spacing w:after="0"/>
              <w:rPr>
                <w:sz w:val="20"/>
                <w:szCs w:val="20"/>
                <w:color w:val="auto"/>
              </w:rPr>
            </w:pPr>
            <w:r>
              <w:rPr>
                <w:rFonts w:ascii="Arial" w:cs="Arial" w:eastAsia="Arial" w:hAnsi="Arial"/>
                <w:sz w:val="18"/>
                <w:szCs w:val="18"/>
                <w:b w:val="1"/>
                <w:bCs w:val="1"/>
                <w:color w:val="auto"/>
              </w:rPr>
              <w:t>Section 1.33</w:t>
            </w:r>
          </w:p>
        </w:tc>
        <w:tc>
          <w:tcPr>
            <w:tcW w:w="9240" w:type="dxa"/>
            <w:vAlign w:val="bottom"/>
            <w:gridSpan w:val="7"/>
          </w:tcPr>
          <w:p>
            <w:pPr>
              <w:ind w:left="3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United States</w:t>
            </w:r>
            <w:r>
              <w:rPr>
                <w:rFonts w:ascii="Arial" w:cs="Arial" w:eastAsia="Arial" w:hAnsi="Arial"/>
                <w:sz w:val="18"/>
                <w:szCs w:val="18"/>
                <w:color w:val="auto"/>
                <w:w w:val="95"/>
              </w:rPr>
              <w:t>” and “</w:t>
            </w:r>
            <w:r>
              <w:rPr>
                <w:rFonts w:ascii="Arial" w:cs="Arial" w:eastAsia="Arial" w:hAnsi="Arial"/>
                <w:sz w:val="18"/>
                <w:szCs w:val="18"/>
                <w:b w:val="1"/>
                <w:bCs w:val="1"/>
                <w:color w:val="auto"/>
                <w:w w:val="95"/>
              </w:rPr>
              <w:t>U.S.</w:t>
            </w:r>
            <w:r>
              <w:rPr>
                <w:rFonts w:ascii="Arial" w:cs="Arial" w:eastAsia="Arial" w:hAnsi="Arial"/>
                <w:sz w:val="18"/>
                <w:szCs w:val="18"/>
                <w:color w:val="auto"/>
                <w:w w:val="95"/>
              </w:rPr>
              <w:t>” shall have the meaning assigned to it in Regulation S as promulgated by the Commission</w:t>
            </w:r>
          </w:p>
        </w:tc>
      </w:tr>
      <w:tr>
        <w:trPr>
          <w:trHeight w:val="237"/>
        </w:trPr>
        <w:tc>
          <w:tcPr>
            <w:tcW w:w="2180" w:type="dxa"/>
            <w:vAlign w:val="bottom"/>
          </w:tcPr>
          <w:p>
            <w:pPr>
              <w:spacing w:after="0"/>
              <w:rPr>
                <w:sz w:val="20"/>
                <w:szCs w:val="20"/>
                <w:color w:val="auto"/>
              </w:rPr>
            </w:pPr>
            <w:r>
              <w:rPr>
                <w:rFonts w:ascii="Arial" w:cs="Arial" w:eastAsia="Arial" w:hAnsi="Arial"/>
                <w:sz w:val="18"/>
                <w:szCs w:val="18"/>
                <w:color w:val="auto"/>
              </w:rPr>
              <w:t>under the Securities Act.</w:t>
            </w:r>
          </w:p>
        </w:tc>
        <w:tc>
          <w:tcPr>
            <w:tcW w:w="4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920" w:type="dxa"/>
            <w:vAlign w:val="bottom"/>
          </w:tcPr>
          <w:p>
            <w:pPr>
              <w:spacing w:after="0"/>
              <w:rPr>
                <w:sz w:val="20"/>
                <w:szCs w:val="20"/>
                <w:color w:val="auto"/>
              </w:rPr>
            </w:pPr>
          </w:p>
        </w:tc>
      </w:tr>
      <w:tr>
        <w:trPr>
          <w:trHeight w:val="608"/>
        </w:trPr>
        <w:tc>
          <w:tcPr>
            <w:tcW w:w="2180" w:type="dxa"/>
            <w:vAlign w:val="bottom"/>
          </w:tcPr>
          <w:p>
            <w:pPr>
              <w:spacing w:after="0"/>
              <w:rPr>
                <w:sz w:val="24"/>
                <w:szCs w:val="24"/>
                <w:color w:val="auto"/>
              </w:rPr>
            </w:pPr>
          </w:p>
        </w:tc>
        <w:tc>
          <w:tcPr>
            <w:tcW w:w="9240" w:type="dxa"/>
            <w:vAlign w:val="bottom"/>
            <w:gridSpan w:val="7"/>
          </w:tcPr>
          <w:p>
            <w:pPr>
              <w:jc w:val="right"/>
              <w:ind w:right="5660"/>
              <w:spacing w:after="0"/>
              <w:rPr>
                <w:sz w:val="20"/>
                <w:szCs w:val="20"/>
                <w:color w:val="auto"/>
              </w:rPr>
            </w:pPr>
            <w:r>
              <w:rPr>
                <w:rFonts w:ascii="Arial" w:cs="Arial" w:eastAsia="Arial" w:hAnsi="Arial"/>
                <w:sz w:val="18"/>
                <w:szCs w:val="18"/>
                <w:color w:val="auto"/>
              </w:rPr>
              <w:t>5</w:t>
            </w:r>
          </w:p>
        </w:tc>
      </w:tr>
      <w:tr>
        <w:trPr>
          <w:trHeight w:val="118"/>
        </w:trPr>
        <w:tc>
          <w:tcPr>
            <w:tcW w:w="21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7" w:name="page18"/>
    <w:bookmarkEnd w:id="17"/>
    <w:tbl>
      <w:tblPr>
        <w:tblLayout w:type="fixed"/>
        <w:tblInd w:w="66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780" w:type="dxa"/>
            <w:vAlign w:val="bottom"/>
          </w:tcPr>
          <w:p>
            <w:pPr>
              <w:jc w:val="center"/>
              <w:ind w:right="4410"/>
              <w:spacing w:after="0"/>
              <w:rPr>
                <w:sz w:val="20"/>
                <w:szCs w:val="20"/>
                <w:color w:val="auto"/>
              </w:rPr>
            </w:pPr>
            <w:r>
              <w:rPr>
                <w:rFonts w:ascii="Arial" w:cs="Arial" w:eastAsia="Arial" w:hAnsi="Arial"/>
                <w:sz w:val="18"/>
                <w:szCs w:val="18"/>
                <w:b w:val="1"/>
                <w:bCs w:val="1"/>
                <w:color w:val="auto"/>
              </w:rPr>
              <w:t>ARTICLE II</w:t>
            </w:r>
          </w:p>
        </w:tc>
      </w:tr>
      <w:tr>
        <w:trPr>
          <w:trHeight w:val="441"/>
        </w:trPr>
        <w:tc>
          <w:tcPr>
            <w:tcW w:w="1820" w:type="dxa"/>
            <w:vAlign w:val="bottom"/>
          </w:tcPr>
          <w:p>
            <w:pPr>
              <w:spacing w:after="0"/>
              <w:rPr>
                <w:sz w:val="24"/>
                <w:szCs w:val="24"/>
                <w:color w:val="auto"/>
              </w:rPr>
            </w:pPr>
          </w:p>
        </w:tc>
        <w:tc>
          <w:tcPr>
            <w:tcW w:w="8880" w:type="dxa"/>
            <w:vAlign w:val="bottom"/>
            <w:gridSpan w:val="2"/>
          </w:tcPr>
          <w:p>
            <w:pPr>
              <w:jc w:val="center"/>
              <w:ind w:right="2330"/>
              <w:spacing w:after="0"/>
              <w:rPr>
                <w:sz w:val="20"/>
                <w:szCs w:val="20"/>
                <w:color w:val="auto"/>
              </w:rPr>
            </w:pPr>
            <w:r>
              <w:rPr>
                <w:rFonts w:ascii="Arial" w:cs="Arial" w:eastAsia="Arial" w:hAnsi="Arial"/>
                <w:sz w:val="18"/>
                <w:szCs w:val="18"/>
                <w:b w:val="1"/>
                <w:bCs w:val="1"/>
                <w:color w:val="auto"/>
                <w:w w:val="99"/>
              </w:rPr>
              <w:t>APPOINTMENT OF DEPOSITARY; FORM OF RECEIPTS;</w:t>
            </w:r>
          </w:p>
        </w:tc>
      </w:tr>
      <w:tr>
        <w:trPr>
          <w:trHeight w:val="216"/>
        </w:trPr>
        <w:tc>
          <w:tcPr>
            <w:tcW w:w="1820" w:type="dxa"/>
            <w:vAlign w:val="bottom"/>
          </w:tcPr>
          <w:p>
            <w:pPr>
              <w:spacing w:after="0"/>
              <w:rPr>
                <w:sz w:val="18"/>
                <w:szCs w:val="18"/>
                <w:color w:val="auto"/>
              </w:rPr>
            </w:pPr>
          </w:p>
        </w:tc>
        <w:tc>
          <w:tcPr>
            <w:tcW w:w="8880" w:type="dxa"/>
            <w:vAlign w:val="bottom"/>
            <w:gridSpan w:val="2"/>
          </w:tcPr>
          <w:p>
            <w:pPr>
              <w:jc w:val="center"/>
              <w:ind w:right="2310"/>
              <w:spacing w:after="0"/>
              <w:rPr>
                <w:sz w:val="20"/>
                <w:szCs w:val="20"/>
                <w:color w:val="auto"/>
              </w:rPr>
            </w:pPr>
            <w:r>
              <w:rPr>
                <w:rFonts w:ascii="Arial" w:cs="Arial" w:eastAsia="Arial" w:hAnsi="Arial"/>
                <w:sz w:val="18"/>
                <w:szCs w:val="18"/>
                <w:b w:val="1"/>
                <w:bCs w:val="1"/>
                <w:color w:val="auto"/>
                <w:w w:val="99"/>
              </w:rPr>
              <w:t>DEPOSIT OF SHARES; EXECUTION AND</w:t>
            </w:r>
          </w:p>
        </w:tc>
      </w:tr>
      <w:tr>
        <w:trPr>
          <w:trHeight w:val="234"/>
        </w:trPr>
        <w:tc>
          <w:tcPr>
            <w:tcW w:w="1820" w:type="dxa"/>
            <w:vAlign w:val="bottom"/>
          </w:tcPr>
          <w:p>
            <w:pPr>
              <w:spacing w:after="0"/>
              <w:rPr>
                <w:sz w:val="20"/>
                <w:szCs w:val="20"/>
                <w:color w:val="auto"/>
              </w:rPr>
            </w:pPr>
          </w:p>
        </w:tc>
        <w:tc>
          <w:tcPr>
            <w:tcW w:w="8880" w:type="dxa"/>
            <w:vAlign w:val="bottom"/>
            <w:gridSpan w:val="2"/>
          </w:tcPr>
          <w:p>
            <w:pPr>
              <w:jc w:val="center"/>
              <w:ind w:right="2330"/>
              <w:spacing w:after="0"/>
              <w:rPr>
                <w:sz w:val="20"/>
                <w:szCs w:val="20"/>
                <w:color w:val="auto"/>
              </w:rPr>
            </w:pPr>
            <w:r>
              <w:rPr>
                <w:rFonts w:ascii="Arial" w:cs="Arial" w:eastAsia="Arial" w:hAnsi="Arial"/>
                <w:sz w:val="18"/>
                <w:szCs w:val="18"/>
                <w:b w:val="1"/>
                <w:bCs w:val="1"/>
                <w:color w:val="auto"/>
                <w:w w:val="99"/>
              </w:rPr>
              <w:t>DELIVERY, TRANSFER AND SURRENDER OF RECEIPTS</w:t>
            </w:r>
          </w:p>
        </w:tc>
      </w:tr>
      <w:tr>
        <w:trPr>
          <w:trHeight w:val="419"/>
        </w:trPr>
        <w:tc>
          <w:tcPr>
            <w:tcW w:w="1820" w:type="dxa"/>
            <w:vAlign w:val="bottom"/>
          </w:tcPr>
          <w:p>
            <w:pPr>
              <w:spacing w:after="0"/>
              <w:rPr>
                <w:sz w:val="20"/>
                <w:szCs w:val="20"/>
                <w:color w:val="auto"/>
              </w:rPr>
            </w:pPr>
            <w:r>
              <w:rPr>
                <w:rFonts w:ascii="Arial" w:cs="Arial" w:eastAsia="Arial" w:hAnsi="Arial"/>
                <w:sz w:val="18"/>
                <w:szCs w:val="18"/>
                <w:b w:val="1"/>
                <w:bCs w:val="1"/>
                <w:color w:val="auto"/>
              </w:rPr>
              <w:t>Section 2.1</w:t>
            </w:r>
          </w:p>
        </w:tc>
        <w:tc>
          <w:tcPr>
            <w:tcW w:w="8880" w:type="dxa"/>
            <w:vAlign w:val="bottom"/>
            <w:gridSpan w:val="2"/>
          </w:tcPr>
          <w:p>
            <w:pPr>
              <w:spacing w:after="0"/>
              <w:rPr>
                <w:sz w:val="20"/>
                <w:szCs w:val="20"/>
                <w:color w:val="auto"/>
              </w:rPr>
            </w:pPr>
            <w:r>
              <w:rPr>
                <w:rFonts w:ascii="Arial" w:cs="Arial" w:eastAsia="Arial" w:hAnsi="Arial"/>
                <w:sz w:val="18"/>
                <w:szCs w:val="18"/>
                <w:b w:val="1"/>
                <w:bCs w:val="1"/>
                <w:color w:val="auto"/>
                <w:w w:val="90"/>
              </w:rPr>
              <w:t xml:space="preserve">Appointment of Depositary. </w:t>
            </w:r>
            <w:r>
              <w:rPr>
                <w:rFonts w:ascii="Arial" w:cs="Arial" w:eastAsia="Arial" w:hAnsi="Arial"/>
                <w:sz w:val="18"/>
                <w:szCs w:val="18"/>
                <w:color w:val="auto"/>
                <w:w w:val="90"/>
              </w:rPr>
              <w:t>The Company hereby appoints the Depositary as depositary for the Deposited Securities and</w:t>
            </w:r>
          </w:p>
        </w:tc>
      </w:tr>
      <w:tr>
        <w:trPr>
          <w:trHeight w:val="20"/>
        </w:trPr>
        <w:tc>
          <w:tcPr>
            <w:tcW w:w="18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hereby authorizes and directs the Depositary to act in accordance with the terms and conditions set forth in the Deposit Agreement and the applicable</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202"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Form and Transferability of ADSs</w:t>
      </w:r>
      <w:r>
        <w:rPr>
          <w:rFonts w:ascii="Arial" w:cs="Arial" w:eastAsia="Arial" w:hAnsi="Arial"/>
          <w:sz w:val="16"/>
          <w:szCs w:val="16"/>
          <w:b w:val="1"/>
          <w:bCs w:val="1"/>
          <w:color w:val="auto"/>
        </w:rPr>
        <w:t>.</w:t>
      </w:r>
    </w:p>
    <w:p>
      <w:pPr>
        <w:spacing w:after="0" w:line="252" w:lineRule="exact"/>
        <w:rPr>
          <w:sz w:val="20"/>
          <w:szCs w:val="20"/>
          <w:color w:val="auto"/>
        </w:rPr>
      </w:pPr>
    </w:p>
    <w:p>
      <w:pPr>
        <w:ind w:firstLine="656"/>
        <w:spacing w:after="0" w:line="269" w:lineRule="auto"/>
        <w:tabs>
          <w:tab w:leader="none" w:pos="1353"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Form</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Certificated ADSs shall be evidenced by definitive ADRs which shall be engraved, printed, lithographed or produced in such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manner as may be agreed upon by the Company and the Depositary. ADRs may be issued under the Deposit Agreement in denominations of any whole number of ADSs. The ADRs shall be substantially in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Deposit Agreement, with any appropriate insertions, mo 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 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8" w:name="page19"/>
    <w:bookmarkEnd w:id="18"/>
    <w:p>
      <w:pPr>
        <w:ind w:left="-8" w:right="300" w:firstLine="656"/>
        <w:spacing w:after="0" w:line="293" w:lineRule="auto"/>
        <w:tabs>
          <w:tab w:leader="none" w:pos="1355"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ADRs may be endorsed with, or have incorporated in the text thereof, such legends or recitals not inconsistent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Deposit Agreement as (i) may be necessary to enable the Depositary and the Company to perform their respective obligations hereunder,</w:t>
      </w:r>
    </w:p>
    <w:p>
      <w:pPr>
        <w:spacing w:after="0" w:line="1" w:lineRule="exact"/>
        <w:rPr>
          <w:rFonts w:ascii="Arial" w:cs="Arial" w:eastAsia="Arial" w:hAnsi="Arial"/>
          <w:sz w:val="16"/>
          <w:szCs w:val="16"/>
          <w:b w:val="1"/>
          <w:bCs w:val="1"/>
          <w:color w:val="auto"/>
        </w:rPr>
      </w:pPr>
    </w:p>
    <w:p>
      <w:pPr>
        <w:ind w:left="-8" w:right="20" w:firstLine="8"/>
        <w:spacing w:after="0" w:line="270" w:lineRule="auto"/>
        <w:tabs>
          <w:tab w:leader="none" w:pos="257" w:val="left"/>
        </w:tabs>
        <w:numPr>
          <w:ilvl w:val="0"/>
          <w:numId w:val="8"/>
        </w:numPr>
        <w:rPr>
          <w:rFonts w:ascii="Arial" w:cs="Arial" w:eastAsia="Arial" w:hAnsi="Arial"/>
          <w:sz w:val="17"/>
          <w:szCs w:val="17"/>
          <w:color w:val="auto"/>
        </w:rPr>
      </w:pPr>
      <w:r>
        <w:rPr>
          <w:rFonts w:ascii="Arial" w:cs="Arial" w:eastAsia="Arial" w:hAnsi="Arial"/>
          <w:sz w:val="17"/>
          <w:szCs w:val="17"/>
          <w:color w:val="auto"/>
        </w:rPr>
        <w:t>may be required to comply with any applicable laws or regulations, or with the rules and regulations of any securities exchange or market upon which ADSs may be traded, listed or quoted, or to conform with any usage with respect thereto, (iii) may be necessary to indi cate any special limitations or restrictions to which any particular ADRs or ADSs are subject by reason of the date of issuance of the Deposited Securities or otherwise, or (iv) may be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201" w:lineRule="exact"/>
        <w:rPr>
          <w:rFonts w:ascii="Arial" w:cs="Arial" w:eastAsia="Arial" w:hAnsi="Arial"/>
          <w:sz w:val="17"/>
          <w:szCs w:val="17"/>
          <w:color w:val="auto"/>
        </w:rPr>
      </w:pPr>
    </w:p>
    <w:p>
      <w:pPr>
        <w:ind w:left="-8" w:firstLine="656"/>
        <w:spacing w:after="0" w:line="255" w:lineRule="auto"/>
        <w:tabs>
          <w:tab w:leader="none" w:pos="1335"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and in the ADR, title to an ADR (and to each Certificated ADS evidenced thereby)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212" w:lineRule="exact"/>
        <w:rPr>
          <w:rFonts w:ascii="Arial" w:cs="Arial" w:eastAsia="Arial" w:hAnsi="Arial"/>
          <w:sz w:val="18"/>
          <w:szCs w:val="18"/>
          <w:b w:val="1"/>
          <w:bCs w:val="1"/>
          <w:color w:val="auto"/>
        </w:rPr>
      </w:pPr>
    </w:p>
    <w:p>
      <w:pPr>
        <w:ind w:left="-8" w:firstLine="656"/>
        <w:spacing w:after="0" w:line="287" w:lineRule="auto"/>
        <w:tabs>
          <w:tab w:leader="none" w:pos="1355"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Book-Entry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arrangements for the acceptance of the ADSs into DTC. All ADSs held through DTC</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registered in the name of the nominee for DTC (currently “Cede &amp; Co.”). As such, the nominee for DTC will be the only “Holder” of all ADSs held through DTC. Unless issued by the Depositary as Uncertificated ADSs, the ADSs registered in the name of Cede &amp; Co. will be evidenced by a single ADR in the form of a “Balance Certificate,” which will provide that it re 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w:t>
      </w:r>
    </w:p>
    <w:p>
      <w:pPr>
        <w:spacing w:after="0" w:line="34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19" w:name="page20"/>
    <w:bookmarkEnd w:id="19"/>
    <w:p>
      <w:pPr>
        <w:ind w:firstLine="648"/>
        <w:spacing w:after="0" w:line="284"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Deposit Agreement and applicable law, Shares or evidence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rights 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Arial" w:cs="Arial" w:eastAsia="Arial" w:hAnsi="Arial"/>
          <w:sz w:val="16"/>
          <w:szCs w:val="16"/>
          <w:i w:val="1"/>
          <w:iCs w:val="1"/>
          <w:color w:val="auto"/>
        </w:rPr>
        <w:t>in the</w:t>
      </w:r>
      <w:r>
        <w:rPr>
          <w:rFonts w:ascii="Arial" w:cs="Arial" w:eastAsia="Arial" w:hAnsi="Arial"/>
          <w:sz w:val="16"/>
          <w:szCs w:val="16"/>
          <w:color w:val="auto"/>
        </w:rPr>
        <w:t xml:space="preserve"> </w:t>
      </w:r>
      <w:r>
        <w:rPr>
          <w:rFonts w:ascii="Arial" w:cs="Arial" w:eastAsia="Arial" w:hAnsi="Arial"/>
          <w:sz w:val="16"/>
          <w:szCs w:val="16"/>
          <w:i w:val="1"/>
          <w:iCs w:val="1"/>
          <w:color w:val="auto"/>
        </w:rPr>
        <w:t>case of Shares represented by certificates issued in registered form</w:t>
      </w:r>
      <w:r>
        <w:rPr>
          <w:rFonts w:ascii="Arial" w:cs="Arial" w:eastAsia="Arial" w:hAnsi="Arial"/>
          <w:sz w:val="16"/>
          <w:szCs w:val="16"/>
          <w:color w:val="auto"/>
        </w:rPr>
        <w:t>, appropriate instruments of transfer or endorsement, in a form satisfactory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Custodian, (ii) </w:t>
      </w:r>
      <w:r>
        <w:rPr>
          <w:rFonts w:ascii="Arial" w:cs="Arial" w:eastAsia="Arial" w:hAnsi="Arial"/>
          <w:sz w:val="16"/>
          <w:szCs w:val="16"/>
          <w:i w:val="1"/>
          <w:iCs w:val="1"/>
          <w:color w:val="auto"/>
        </w:rPr>
        <w:t>in the case of Shares represented by certificates in bearer form</w:t>
      </w:r>
      <w:r>
        <w:rPr>
          <w:rFonts w:ascii="Arial" w:cs="Arial" w:eastAsia="Arial" w:hAnsi="Arial"/>
          <w:sz w:val="16"/>
          <w:szCs w:val="16"/>
          <w:color w:val="auto"/>
        </w:rPr>
        <w:t xml:space="preserve">. the requisite coupons and talons pertaining thereto, and (iii) </w:t>
      </w:r>
      <w:r>
        <w:rPr>
          <w:rFonts w:ascii="Arial" w:cs="Arial" w:eastAsia="Arial" w:hAnsi="Arial"/>
          <w:sz w:val="16"/>
          <w:szCs w:val="16"/>
          <w:i w:val="1"/>
          <w:iCs w:val="1"/>
          <w:color w:val="auto"/>
        </w:rPr>
        <w:t>in the case of</w:t>
      </w:r>
      <w:r>
        <w:rPr>
          <w:rFonts w:ascii="Arial" w:cs="Arial" w:eastAsia="Arial" w:hAnsi="Arial"/>
          <w:sz w:val="16"/>
          <w:szCs w:val="16"/>
          <w:color w:val="auto"/>
        </w:rPr>
        <w:t xml:space="preserve"> </w:t>
      </w:r>
      <w:r>
        <w:rPr>
          <w:rFonts w:ascii="Arial" w:cs="Arial" w:eastAsia="Arial" w:hAnsi="Arial"/>
          <w:sz w:val="16"/>
          <w:szCs w:val="16"/>
          <w:i w:val="1"/>
          <w:iCs w:val="1"/>
          <w:color w:val="auto"/>
        </w:rPr>
        <w:t>Shares delivered by book-entry transfer</w:t>
      </w:r>
      <w:r>
        <w:rPr>
          <w:rFonts w:ascii="Arial" w:cs="Arial" w:eastAsia="Arial" w:hAnsi="Arial"/>
          <w:sz w:val="16"/>
          <w:szCs w:val="16"/>
          <w:color w:val="auto"/>
        </w:rPr>
        <w:t>, confirmation of such book-entry transfer to the Custodian or that irrevocable instructions have been given to cause</w:t>
      </w:r>
      <w:r>
        <w:rPr>
          <w:rFonts w:ascii="Arial" w:cs="Arial" w:eastAsia="Arial" w:hAnsi="Arial"/>
          <w:sz w:val="16"/>
          <w:szCs w:val="16"/>
          <w:i w:val="1"/>
          <w:iCs w:val="1"/>
          <w:color w:val="auto"/>
        </w:rPr>
        <w:t xml:space="preserve"> </w:t>
      </w:r>
      <w:r>
        <w:rPr>
          <w:rFonts w:ascii="Arial" w:cs="Arial" w:eastAsia="Arial" w:hAnsi="Arial"/>
          <w:sz w:val="16"/>
          <w:szCs w:val="16"/>
          <w:color w:val="auto"/>
        </w:rPr>
        <w:t>such Shares to be so transferred,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w:t>
      </w:r>
    </w:p>
    <w:p>
      <w:pPr>
        <w:ind w:right="60" w:firstLine="8"/>
        <w:spacing w:after="0" w:line="288" w:lineRule="auto"/>
        <w:tabs>
          <w:tab w:leader="none" w:pos="295" w:val="left"/>
        </w:tabs>
        <w:numPr>
          <w:ilvl w:val="0"/>
          <w:numId w:val="9"/>
        </w:numPr>
        <w:rPr>
          <w:rFonts w:ascii="Arial" w:cs="Arial" w:eastAsia="Arial" w:hAnsi="Arial"/>
          <w:sz w:val="16"/>
          <w:szCs w:val="16"/>
          <w:color w:val="auto"/>
        </w:rPr>
      </w:pPr>
      <w:r>
        <w:rPr>
          <w:rFonts w:ascii="Arial" w:cs="Arial" w:eastAsia="Arial" w:hAnsi="Arial"/>
          <w:sz w:val="16"/>
          <w:szCs w:val="16"/>
          <w:color w:val="auto"/>
        </w:rPr>
        <w:t>evidence satisfactory to the Depositary (which may be an opinion of counsel) that all necessary approvals have been granted by, or there has been compliance with the rules and regulations of, any applicable governmental agency in the Cayman Islands,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 y such deposited Shares or, in lieu thereof, such indemnity or other agreement as shall be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9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app licable governmental body in the Cayman Islands,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ind w:firstLine="648"/>
        <w:spacing w:after="0" w:line="271" w:lineRule="auto"/>
        <w:rPr>
          <w:sz w:val="20"/>
          <w:szCs w:val="20"/>
          <w:color w:val="auto"/>
        </w:rPr>
      </w:pPr>
      <w:r>
        <w:rPr>
          <w:rFonts w:ascii="Arial" w:cs="Arial" w:eastAsia="Arial" w:hAnsi="Arial"/>
          <w:sz w:val="17"/>
          <w:szCs w:val="17"/>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of the Company.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20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b w:val="1"/>
          <w:bCs w:val="1"/>
          <w:color w:val="auto"/>
        </w:rPr>
        <w:t xml:space="preserve">Section 2.4 </w:t>
      </w:r>
      <w:r>
        <w:rPr>
          <w:rFonts w:ascii="Arial" w:cs="Arial" w:eastAsia="Arial" w:hAnsi="Arial"/>
          <w:sz w:val="17"/>
          <w:szCs w:val="17"/>
          <w:b w:val="1"/>
          <w:bCs w:val="1"/>
          <w:u w:val="single" w:color="auto"/>
          <w:color w:val="auto"/>
        </w:rPr>
        <w:t>Registration and Safekeeping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instruct the Custodian upon each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of certificates representing registered Shares being deposited hereunder with the Custodian (or other Deposited Securities pursuant to Article IV hereof), together with the other documents above specified, to present such certificate(s), together with the appropriate instrument(s) of transfer or endorsement, duly stamped, to the Share Registrar for transfer and registration of th 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in each case on behalf of the Holders and Beneficial Owners, at such place or places as the Depositary or the Custodian shall determine.</w:t>
      </w:r>
    </w:p>
    <w:p>
      <w:pPr>
        <w:spacing w:after="0" w:line="199"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u w:val="single" w:color="auto"/>
          <w:color w:val="auto"/>
        </w:rPr>
        <w:t xml:space="preserve">Issuance of ADSs. </w:t>
      </w:r>
      <w:r>
        <w:rPr>
          <w:rFonts w:ascii="Arial" w:cs="Arial" w:eastAsia="Arial" w:hAnsi="Arial"/>
          <w:sz w:val="16"/>
          <w:szCs w:val="16"/>
          <w:color w:val="auto"/>
        </w:rPr>
        <w:t>The Depositary has made arrangements with the Custodian for the Custodian to confirm to the</w:t>
      </w:r>
    </w:p>
    <w:p>
      <w:pPr>
        <w:spacing w:after="0" w:line="2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Depositary 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if registered Shares have been deposited or, if deposit is made by book-entry transfer, confirma tion of such transfer in the books of the book-entry settlement entity,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 rson(s) are entitled, but, in each case, only upon payment to the Depositary of the charges of the Depositary for accepting a deposit, issuing ADSs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all taxes and governmental charges and fees payable in connection with such deposit and the transfer of the Shares and the issuance of the ADS(s). The Depositary shall only issue ADSs in whole numbers and deliver, if applicable, ADR(s) evidencing whole numbers of ADSs. Nothing herein shall prohibit any Pre-Release Transaction upon the terms set forth in the Deposit Agreement.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u w:val="single" w:color="auto"/>
          <w:color w:val="auto"/>
        </w:rPr>
        <w:t xml:space="preserve">Transfer, Combination and Split-up of ADRs. </w:t>
      </w:r>
      <w:r>
        <w:rPr>
          <w:rFonts w:ascii="Arial" w:cs="Arial" w:eastAsia="Arial" w:hAnsi="Arial"/>
          <w:sz w:val="16"/>
          <w:szCs w:val="16"/>
          <w:color w:val="auto"/>
        </w:rPr>
        <w:t>The Registrar shall register the transfer of ADRs (and of the ADSs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represented thereby) on the books maintained for such purpose and the Depositary shall, as promptly as practicable, (x) cancel such ADRs and execute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ADRs evidencing the same aggregate number of ADSs as those evidenced by the ADRs canceled by the Depositary, (y) cause the Registrar to countersign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new ADRs and (z) Deliver such new ADRs to or upon the order of the person entitled thereto, if each of the following conditions has been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satisfied: (i) the ADRs have been duly Delivered by the Holder (or by a duly authorized attorney of the Holder) to the Depositary at its Principal Office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purpose of effecting a transfer thereof, (ii) the surrendered ADRs have been properly endorsed or are accompanied by proper instruments of transfer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signature guarantees in accordance with standard securities industry practice), (iii) the surrendered ADRs have been duly stamped (if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laws of the State of New York or of the United States), and (iv) all applicable fees and charges of, and expenses incurred by, the Depositary and 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applicable taxes and governmental charges (as are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co nditions of the applicable ADRs, of the Deposit Agreement and of applicable law, in each case as in effect at the time thereof.</w:t>
      </w:r>
    </w:p>
    <w:p>
      <w:pPr>
        <w:spacing w:after="0" w:line="234" w:lineRule="exact"/>
        <w:rPr>
          <w:sz w:val="20"/>
          <w:szCs w:val="20"/>
          <w:color w:val="auto"/>
        </w:rPr>
      </w:pPr>
    </w:p>
    <w:p>
      <w:pPr>
        <w:ind w:right="80" w:firstLine="656"/>
        <w:spacing w:after="0" w:line="291" w:lineRule="auto"/>
        <w:tabs>
          <w:tab w:leader="none" w:pos="1353"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Combination &amp; Split Up</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split-up or combination of ADRs (and of the ADSs represented thereby)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books maintained for such purpose and the Depositary shall, as promptly as practicable, (x) cancel such ADRs and execute new ADRs for the number of ADSs requested, but in the aggregate not exceeding the number of ADSs evidenced by the ADRs cancelled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the applicable ADRs, of the Deposit Agreement and of applicable law, in each case as in effect at the time thereof.</w:t>
      </w:r>
    </w:p>
    <w:p>
      <w:pPr>
        <w:spacing w:after="0" w:line="187" w:lineRule="exact"/>
        <w:rPr>
          <w:rFonts w:ascii="Arial" w:cs="Arial" w:eastAsia="Arial" w:hAnsi="Arial"/>
          <w:sz w:val="16"/>
          <w:szCs w:val="16"/>
          <w:b w:val="1"/>
          <w:bCs w:val="1"/>
          <w:color w:val="auto"/>
        </w:rPr>
      </w:pPr>
    </w:p>
    <w:p>
      <w:pPr>
        <w:ind w:firstLine="656"/>
        <w:spacing w:after="0" w:line="255" w:lineRule="auto"/>
        <w:tabs>
          <w:tab w:leader="none" w:pos="1363"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Co-Transfer Agents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may appoint one or more co-transfer agents for the purpose of effecting transfers, combinations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split-ups of ADRs at designated transfer offices on behalf of the Depositary, and the Depositary shall notify the Company of any such appointment. In carrying out its functions, a co-transfer agent may require evidence of authority and compliance with applicable laws and other requirements by Holders or persons entitled to such ADRs and will be entitled to protection and indemnity to the same extent as the Depositary. Such co-transfer agents may be removed and substitutes appointed by the Depositary, and the Depositary shall notify the Company of any such removal or substitution. Each co-transfer agent appointed under this Section 2.6 (other than the Depositary) shall give notice in writing to the Depositary accepting such appointment and agreeing to be bound by the applicable terms of the Deposit Agreement.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Holder of ADSs shall be entitled to Delivery (at the</w:t>
      </w:r>
    </w:p>
    <w:p>
      <w:pPr>
        <w:spacing w:after="0" w:line="2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ADRs evidencing the surrendered ADSs, of the Deposit Agreement, of the Company’s Articles of Association and of any applicable laws and the rules of the applicable book-entry settlement entity, and to any provisions of or governing the Deposited Securities , in each case as in effect at the time thereof.</w:t>
      </w:r>
    </w:p>
    <w:p>
      <w:pPr>
        <w:spacing w:after="0" w:line="21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 xml:space="preserve">subject how ever, in each case, </w:t>
      </w:r>
      <w:r>
        <w:rPr>
          <w:rFonts w:ascii="Arial" w:cs="Arial" w:eastAsia="Arial" w:hAnsi="Arial"/>
          <w:sz w:val="17"/>
          <w:szCs w:val="17"/>
          <w:color w:val="auto"/>
        </w:rPr>
        <w:t>to the terms and conditions of the Deposit Agreement, of the ADRs evidencing the ADSs so cancelled, of the Articles of</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of the Company, of any applicable laws and of the rules of the applicable book-entry settlement entity, and to the terms and conditions of or governing the Deposited Securities, in each case as in effect at the time thereof.</w:t>
      </w:r>
    </w:p>
    <w:p>
      <w:pPr>
        <w:spacing w:after="0" w:line="20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Depositary shall not accept for surrender ADSs representing less than one (1) Share. In the case of the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ind w:firstLine="648"/>
        <w:spacing w:after="0" w:line="255" w:lineRule="auto"/>
        <w:rPr>
          <w:sz w:val="20"/>
          <w:szCs w:val="20"/>
          <w:color w:val="auto"/>
        </w:rPr>
      </w:pPr>
      <w:r>
        <w:rPr>
          <w:rFonts w:ascii="Arial" w:cs="Arial" w:eastAsia="Arial" w:hAnsi="Arial"/>
          <w:sz w:val="18"/>
          <w:szCs w:val="18"/>
          <w:color w:val="auto"/>
        </w:rPr>
        <w:t>Notwithstanding anything else contained in any ADR or the Deposit Agreement, the Depositary may make delivery at the Principal Office of the Depositary of (i) any cash dividends or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cash or other property (other than securities) held by the Custodian in respect of the Deposited Securities represented by such ADSs to the Depositary for delivery at the Principal Office of the Deposit ary. Such direction shall be given by letter or, at the request, risk and expense of such Holder, by cable, telex or facsimile transmission.</w:t>
      </w:r>
    </w:p>
    <w:p>
      <w:pPr>
        <w:spacing w:after="0" w:line="212" w:lineRule="exact"/>
        <w:rPr>
          <w:sz w:val="20"/>
          <w:szCs w:val="20"/>
          <w:color w:val="auto"/>
        </w:rPr>
      </w:pPr>
    </w:p>
    <w:p>
      <w:pPr>
        <w:ind w:left="720"/>
        <w:spacing w:after="0"/>
        <w:tabs>
          <w:tab w:leader="none" w:pos="312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u w:val="single" w:color="auto"/>
          <w:color w:val="auto"/>
        </w:rPr>
        <w:t>Limitations on Execution and Delivery, Transfer, etc. of ADSs; Suspension of Delivery, Transfer, etc</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right="20" w:firstLine="656"/>
        <w:spacing w:after="0" w:line="293" w:lineRule="auto"/>
        <w:tabs>
          <w:tab w:leader="none" w:pos="1353" w:val="left"/>
        </w:tabs>
        <w:numPr>
          <w:ilvl w:val="1"/>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registration of issuance, transfer, split-up,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or surrender, of any ADS, the delivery of any distribution thereon, or the withdrawal of any Deposited Securities, the Depositary or the Custodian may require</w:t>
      </w:r>
    </w:p>
    <w:p>
      <w:pPr>
        <w:spacing w:after="0" w:line="1" w:lineRule="exact"/>
        <w:rPr>
          <w:rFonts w:ascii="Arial" w:cs="Arial" w:eastAsia="Arial" w:hAnsi="Arial"/>
          <w:sz w:val="16"/>
          <w:szCs w:val="16"/>
          <w:b w:val="1"/>
          <w:bCs w:val="1"/>
          <w:color w:val="auto"/>
        </w:rPr>
      </w:pPr>
    </w:p>
    <w:p>
      <w:pPr>
        <w:ind w:right="100" w:firstLine="8"/>
        <w:spacing w:after="0" w:line="252"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8"/>
          <w:szCs w:val="18"/>
          <w:u w:val="single" w:color="auto"/>
          <w:color w:val="auto"/>
        </w:rPr>
        <w:t>Exhibit B</w:t>
      </w:r>
      <w:r>
        <w:rPr>
          <w:rFonts w:ascii="Arial" w:cs="Arial" w:eastAsia="Arial" w:hAnsi="Arial"/>
          <w:sz w:val="18"/>
          <w:szCs w:val="18"/>
          <w:color w:val="auto"/>
        </w:rPr>
        <w:t>, (ii) the production of proof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the representative ADR, if applicable, the Deposit Agreement and applicable law.</w:t>
      </w:r>
    </w:p>
    <w:p>
      <w:pPr>
        <w:spacing w:after="0" w:line="216" w:lineRule="exact"/>
        <w:rPr>
          <w:rFonts w:ascii="Arial" w:cs="Arial" w:eastAsia="Arial" w:hAnsi="Arial"/>
          <w:sz w:val="18"/>
          <w:szCs w:val="18"/>
          <w:color w:val="auto"/>
        </w:rPr>
      </w:pPr>
    </w:p>
    <w:p>
      <w:pPr>
        <w:ind w:right="20" w:firstLine="656"/>
        <w:spacing w:after="0" w:line="292" w:lineRule="auto"/>
        <w:tabs>
          <w:tab w:leader="none" w:pos="1363" w:val="left"/>
        </w:tabs>
        <w:numPr>
          <w:ilvl w:val="1"/>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ADSs against deposits of Shares generally or against deposits of particular Shares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ind w:right="80" w:firstLine="656"/>
        <w:spacing w:after="0" w:line="289" w:lineRule="auto"/>
        <w:tabs>
          <w:tab w:leader="none" w:pos="1343" w:val="left"/>
        </w:tabs>
        <w:numPr>
          <w:ilvl w:val="1"/>
          <w:numId w:val="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Regulatory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 of the Deposit Agreement or any ADR(s) to the contrary, Holders are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w:t>
      </w:r>
    </w:p>
    <w:p>
      <w:pPr>
        <w:spacing w:after="0" w:line="1" w:lineRule="exact"/>
        <w:rPr>
          <w:rFonts w:ascii="Arial" w:cs="Arial" w:eastAsia="Arial" w:hAnsi="Arial"/>
          <w:sz w:val="16"/>
          <w:szCs w:val="16"/>
          <w:b w:val="1"/>
          <w:bCs w:val="1"/>
          <w:color w:val="auto"/>
        </w:rPr>
      </w:pPr>
    </w:p>
    <w:p>
      <w:pPr>
        <w:jc w:val="both"/>
        <w:ind w:right="140" w:firstLine="8"/>
        <w:spacing w:after="0" w:line="255"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payment of fees, taxes and similar charges, (iii) compliance with any U.S. or foreign laws or gove 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13" w:lineRule="exact"/>
        <w:rPr>
          <w:sz w:val="20"/>
          <w:szCs w:val="20"/>
          <w:color w:val="auto"/>
        </w:rPr>
      </w:pPr>
    </w:p>
    <w:p>
      <w:pPr>
        <w:ind w:right="140" w:firstLine="648"/>
        <w:spacing w:after="0" w:line="292"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Lost ADRs,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ADR shall be mutilated, destroyed, lost, or stolen, the Depositary shall execute and deliver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new ADR of like tenor at the expense of the Holder (a) </w:t>
      </w:r>
      <w:r>
        <w:rPr>
          <w:rFonts w:ascii="Arial" w:cs="Arial" w:eastAsia="Arial" w:hAnsi="Arial"/>
          <w:sz w:val="16"/>
          <w:szCs w:val="16"/>
          <w:i w:val="1"/>
          <w:iCs w:val="1"/>
          <w:color w:val="auto"/>
        </w:rPr>
        <w:t>in the case of a mutilated ADR,</w:t>
      </w:r>
      <w:r>
        <w:rPr>
          <w:rFonts w:ascii="Arial" w:cs="Arial" w:eastAsia="Arial" w:hAnsi="Arial"/>
          <w:sz w:val="16"/>
          <w:szCs w:val="16"/>
          <w:color w:val="auto"/>
        </w:rPr>
        <w:t xml:space="preserve"> in exchange of and substitution for such mutilated ADR upon cancellation thereof, or (b) </w:t>
      </w:r>
      <w:r>
        <w:rPr>
          <w:rFonts w:ascii="Arial" w:cs="Arial" w:eastAsia="Arial" w:hAnsi="Arial"/>
          <w:sz w:val="16"/>
          <w:szCs w:val="16"/>
          <w:i w:val="1"/>
          <w:iCs w:val="1"/>
          <w:color w:val="auto"/>
        </w:rPr>
        <w:t>in the case of a destroyed, lost or stolen ADR,</w:t>
      </w:r>
      <w:r>
        <w:rPr>
          <w:rFonts w:ascii="Arial" w:cs="Arial" w:eastAsia="Arial" w:hAnsi="Arial"/>
          <w:sz w:val="16"/>
          <w:szCs w:val="16"/>
          <w:color w:val="auto"/>
        </w:rPr>
        <w:t xml:space="preserve"> in lieu of and in substituti 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89" w:lineRule="exact"/>
        <w:rPr>
          <w:sz w:val="20"/>
          <w:szCs w:val="20"/>
          <w:color w:val="auto"/>
        </w:rPr>
      </w:pPr>
    </w:p>
    <w:p>
      <w:pPr>
        <w:ind w:left="660"/>
        <w:spacing w:after="0"/>
        <w:tabs>
          <w:tab w:leader="none" w:pos="254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6"/>
          <w:szCs w:val="16"/>
          <w:b w:val="1"/>
          <w:bCs w:val="1"/>
          <w:u w:val="single" w:color="auto"/>
          <w:color w:val="auto"/>
        </w:rPr>
        <w:t>Cancellation and Destruction of Surrendered ADRs; Maintenance of Records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All ADRs surrendered to the</w:t>
      </w:r>
    </w:p>
    <w:p>
      <w:pPr>
        <w:spacing w:after="0" w:line="27"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Depositary shall be canceled by the Depositary. Canceled ADRs shall not be entitled to any benefits under the Deposit Agreement or be valid or enforceable against the Depositary or the Company for any purpose. The Depositary is authorized to destroy ADRs so canceled, provided the Depositary maintains a record of all destroyed ADRs. Any ADSs evidenced by a Balan ce Certificate shall be deemed canceled when the Depositary causes the number of ADSs evidenced by the Balance Certificate to be reduced by the number of ADSs surrendered (without the need to physically destroy the Balance Certificate).</w:t>
      </w:r>
    </w:p>
    <w:p>
      <w:pPr>
        <w:spacing w:after="0" w:line="185"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Escheatment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unclaimed property relating to the ADSs, for any reason, is in the possession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and 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20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2.12 </w:t>
      </w:r>
      <w:r>
        <w:rPr>
          <w:rFonts w:ascii="Arial" w:cs="Arial" w:eastAsia="Arial" w:hAnsi="Arial"/>
          <w:sz w:val="17"/>
          <w:szCs w:val="17"/>
          <w:b w:val="1"/>
          <w:bCs w:val="1"/>
          <w:u w:val="single" w:color="auto"/>
          <w:color w:val="auto"/>
        </w:rPr>
        <w:t>Partial Entitlement ADSs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any Shares are deposited which (i) entitle the holders thereof to receive a per-share distribution or other entitlement in an amount different from the Shares then on deposit or (ii) are not fully fungible (including, without limitation, as to settlement or trading) with the Shares then on deposit (the Shares then on deposit collectively, “</w:t>
      </w:r>
      <w:r>
        <w:rPr>
          <w:rFonts w:ascii="Arial" w:cs="Arial" w:eastAsia="Arial" w:hAnsi="Arial"/>
          <w:sz w:val="17"/>
          <w:szCs w:val="17"/>
          <w:u w:val="single" w:color="auto"/>
          <w:color w:val="auto"/>
        </w:rPr>
        <w:t>Full Entitlement Shares</w:t>
      </w:r>
      <w:r>
        <w:rPr>
          <w:rFonts w:ascii="Arial" w:cs="Arial" w:eastAsia="Arial" w:hAnsi="Arial"/>
          <w:sz w:val="17"/>
          <w:szCs w:val="17"/>
          <w:color w:val="auto"/>
        </w:rPr>
        <w:t>” and t he Shares with different entitlement, “</w:t>
      </w:r>
      <w:r>
        <w:rPr>
          <w:rFonts w:ascii="Arial" w:cs="Arial" w:eastAsia="Arial" w:hAnsi="Arial"/>
          <w:sz w:val="17"/>
          <w:szCs w:val="17"/>
          <w:u w:val="single" w:color="auto"/>
          <w:color w:val="auto"/>
        </w:rPr>
        <w:t>Partial Entitlement Shares</w:t>
      </w:r>
      <w:r>
        <w:rPr>
          <w:rFonts w:ascii="Arial" w:cs="Arial" w:eastAsia="Arial" w:hAnsi="Arial"/>
          <w:sz w:val="17"/>
          <w:szCs w:val="17"/>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Arial" w:cs="Arial" w:eastAsia="Arial" w:hAnsi="Arial"/>
          <w:sz w:val="17"/>
          <w:szCs w:val="17"/>
          <w:u w:val="single" w:color="auto"/>
          <w:color w:val="auto"/>
        </w:rPr>
        <w:t>Partial Entitlement ADSs/ADRs</w:t>
      </w:r>
      <w:r>
        <w:rPr>
          <w:rFonts w:ascii="Arial" w:cs="Arial" w:eastAsia="Arial" w:hAnsi="Arial"/>
          <w:sz w:val="17"/>
          <w:szCs w:val="17"/>
          <w:color w:val="auto"/>
        </w:rPr>
        <w:t>” and “</w:t>
      </w:r>
      <w:r>
        <w:rPr>
          <w:rFonts w:ascii="Arial" w:cs="Arial" w:eastAsia="Arial" w:hAnsi="Arial"/>
          <w:sz w:val="17"/>
          <w:szCs w:val="17"/>
          <w:u w:val="single" w:color="auto"/>
          <w:color w:val="auto"/>
        </w:rPr>
        <w:t>Full Entitlement ADSs/ADRs</w:t>
      </w:r>
      <w:r>
        <w:rPr>
          <w:rFonts w:ascii="Arial" w:cs="Arial" w:eastAsia="Arial" w:hAnsi="Arial"/>
          <w:sz w:val="17"/>
          <w:szCs w:val="17"/>
          <w:color w:val="auto"/>
        </w:rPr>
        <w:t>”, respectively). If and when Partial Entitlement Shares become Full Entitlement Shares, the Depositary shall (a) give notice thereof to Holders of Partial En 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ind w:firstLine="648"/>
        <w:spacing w:after="0" w:line="283" w:lineRule="auto"/>
        <w:rPr>
          <w:sz w:val="20"/>
          <w:szCs w:val="20"/>
          <w:color w:val="auto"/>
        </w:rPr>
      </w:pPr>
      <w:r>
        <w:rPr>
          <w:rFonts w:ascii="Arial" w:cs="Arial" w:eastAsia="Arial" w:hAnsi="Arial"/>
          <w:sz w:val="16"/>
          <w:szCs w:val="16"/>
          <w:b w:val="1"/>
          <w:bCs w:val="1"/>
          <w:color w:val="auto"/>
        </w:rPr>
        <w:t xml:space="preserve">Section 2.13 </w:t>
      </w:r>
      <w:r>
        <w:rPr>
          <w:rFonts w:ascii="Arial" w:cs="Arial" w:eastAsia="Arial" w:hAnsi="Arial"/>
          <w:sz w:val="16"/>
          <w:szCs w:val="16"/>
          <w:b w:val="1"/>
          <w:bCs w:val="1"/>
          <w:u w:val="single" w:color="auto"/>
          <w:color w:val="auto"/>
        </w:rPr>
        <w:t>Certificated/Uncertificated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the Depositary may,</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and from time to time, issue ADSs that are not evidenced by ADRs (such ADSs, the “</w:t>
      </w:r>
      <w:r>
        <w:rPr>
          <w:rFonts w:ascii="Arial" w:cs="Arial" w:eastAsia="Arial" w:hAnsi="Arial"/>
          <w:sz w:val="16"/>
          <w:szCs w:val="16"/>
          <w:u w:val="single" w:color="auto"/>
          <w:color w:val="auto"/>
        </w:rPr>
        <w:t>Uncertificated ADS(s)</w:t>
      </w:r>
      <w:r>
        <w:rPr>
          <w:rFonts w:ascii="Arial" w:cs="Arial" w:eastAsia="Arial" w:hAnsi="Arial"/>
          <w:sz w:val="16"/>
          <w:szCs w:val="16"/>
          <w:color w:val="auto"/>
        </w:rPr>
        <w:t>” and the ADS(s) evidenced by ADR(s), the “</w:t>
      </w:r>
      <w:r>
        <w:rPr>
          <w:rFonts w:ascii="Arial" w:cs="Arial" w:eastAsia="Arial" w:hAnsi="Arial"/>
          <w:sz w:val="16"/>
          <w:szCs w:val="16"/>
          <w:u w:val="single" w:color="auto"/>
          <w:color w:val="auto"/>
        </w:rPr>
        <w:t>Certificated ADS(s)</w:t>
      </w:r>
      <w:r>
        <w:rPr>
          <w:rFonts w:ascii="Arial" w:cs="Arial" w:eastAsia="Arial" w:hAnsi="Arial"/>
          <w:sz w:val="16"/>
          <w:szCs w:val="16"/>
          <w:color w:val="auto"/>
        </w:rPr>
        <w:t>”). When issuing and maintaining Uncertificated ADS(s) under the Deposit Agreement, the Deposita 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applicable laws and any rules and regulations the Depositary may have established in respect of the Uncertificated ADSs. Holders of Certificated ADSs shall, if the Depositary maintains a d 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w:t>
      </w:r>
    </w:p>
    <w:p>
      <w:pPr>
        <w:spacing w:after="0" w:line="8"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terms of the Deposit Agreement and the rules and regulations that the Depositary may establish for such purposes hereunder, (c) applicable law,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 of the Depositary fees and expenses applicable to such exchange of Certificated ADS(s) for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spacing w:after="0" w:line="284" w:lineRule="auto"/>
        <w:rPr>
          <w:sz w:val="20"/>
          <w:szCs w:val="20"/>
          <w:color w:val="auto"/>
        </w:rPr>
      </w:pPr>
      <w:r>
        <w:rPr>
          <w:rFonts w:ascii="Arial" w:cs="Arial" w:eastAsia="Arial" w:hAnsi="Arial"/>
          <w:sz w:val="16"/>
          <w:szCs w:val="16"/>
          <w:color w:val="auto"/>
        </w:rPr>
        <w:t>Uncertificated ADS(s). Uncertificated ADSs shall in all respects be 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 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Securities represented by such Holders' Uncertificated ADSs under the terms of Section 6.2 of the Deposit Agreement.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200"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Section 2.14 </w:t>
      </w:r>
      <w:r>
        <w:rPr>
          <w:rFonts w:ascii="Arial" w:cs="Arial" w:eastAsia="Arial" w:hAnsi="Arial"/>
          <w:sz w:val="18"/>
          <w:szCs w:val="18"/>
          <w:b w:val="1"/>
          <w:bCs w:val="1"/>
          <w:u w:val="single" w:color="auto"/>
          <w:color w:val="auto"/>
        </w:rPr>
        <w:t>Restricted ADSs.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shall, at the request and expense of the Company, establish procedures enabling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hereunder of Shares that are Restricted Securities in order to enable the holder of such Shares to hold its ownership interests in such Restricted Shares in the form of ADSs issued under the terms hereof (such Shares, “</w:t>
      </w:r>
      <w:r>
        <w:rPr>
          <w:rFonts w:ascii="Arial" w:cs="Arial" w:eastAsia="Arial" w:hAnsi="Arial"/>
          <w:sz w:val="18"/>
          <w:szCs w:val="18"/>
          <w:u w:val="single" w:color="auto"/>
          <w:color w:val="auto"/>
        </w:rPr>
        <w:t>Restricted Shares</w:t>
      </w:r>
      <w:r>
        <w:rPr>
          <w:rFonts w:ascii="Arial" w:cs="Arial" w:eastAsia="Arial" w:hAnsi="Arial"/>
          <w:sz w:val="18"/>
          <w:szCs w:val="18"/>
          <w:color w:val="auto"/>
        </w:rPr>
        <w:t>”). Upon receipt of a</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spacing w:after="0" w:line="282" w:lineRule="auto"/>
        <w:rPr>
          <w:sz w:val="20"/>
          <w:szCs w:val="20"/>
          <w:color w:val="auto"/>
        </w:rPr>
      </w:pPr>
      <w:r>
        <w:rPr>
          <w:rFonts w:ascii="Arial" w:cs="Arial" w:eastAsia="Arial" w:hAnsi="Arial"/>
          <w:sz w:val="16"/>
          <w:szCs w:val="16"/>
          <w:color w:val="auto"/>
        </w:rPr>
        <w:t>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Arial" w:cs="Arial" w:eastAsia="Arial" w:hAnsi="Arial"/>
          <w:sz w:val="16"/>
          <w:szCs w:val="16"/>
          <w:u w:val="single" w:color="auto"/>
          <w:color w:val="auto"/>
        </w:rPr>
        <w:t>Restricted ADSs</w:t>
      </w:r>
      <w:r>
        <w:rPr>
          <w:rFonts w:ascii="Arial" w:cs="Arial" w:eastAsia="Arial" w:hAnsi="Arial"/>
          <w:sz w:val="16"/>
          <w:szCs w:val="16"/>
          <w:color w:val="auto"/>
        </w:rPr>
        <w:t>,” and the ADRs evidencing such Restricted ADSs, the “</w:t>
      </w:r>
      <w:r>
        <w:rPr>
          <w:rFonts w:ascii="Arial" w:cs="Arial" w:eastAsia="Arial" w:hAnsi="Arial"/>
          <w:sz w:val="16"/>
          <w:szCs w:val="16"/>
          <w:u w:val="single" w:color="auto"/>
          <w:color w:val="auto"/>
        </w:rPr>
        <w:t>Restricted ADRs</w:t>
      </w:r>
      <w:r>
        <w:rPr>
          <w:rFonts w:ascii="Arial" w:cs="Arial" w:eastAsia="Arial" w:hAnsi="Arial"/>
          <w:sz w:val="16"/>
          <w:szCs w:val="16"/>
          <w:color w:val="auto"/>
        </w:rPr>
        <w:t>”). Notwithstanding anything contained in this Section 2.14, the Depositary and the Company may, to the extent not prohibited by law, agree to issue the Restricted ADSs in uncertificated form ("Uncertifi cated Restricted ADSs') upon such terms and conditions as the Company and the Depositary may deem necessary and appropriate. The Company shall assist the Depositary in the establishment of such procedures and agrees that it shall take all steps necessary and satisfactory to the Depositary to insure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the Restricted ADSs evidenced thereby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Restricted ADS are to be issued as Certificated ADSs), or t o be included in the statements issued from time to time Holders of Uncertificated ADSs (if issued as Uncertificated Restricted ADSs), which legends shall (i) be in a form reasonably satisfactory to the Depositary and (ii) contain the specific circumstances under which the Restricted ADRs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Shares and the Restricted ADSs shall not be eligible for Pre-Release Transactions. The Restricted ADSs shall not be eligible for inclusion in any book-entry settlement system, including, without limitation, DTC, and shall not in any way be fungible with the ADSs issued und er the terms hereof that are not Restricted ADSs. The Restricted ADS and, if applicable, the Restricted ADRs evidencing the Restricted ADSs shall be transferable only by the Holder thereof upon delivery to the Depositary of (i) all documentation otherwise contemplated by the Deposit Agreement and (ii) an opinion of counsel satisfactory to the Depositary setting forth, inter alia, the conditions upon which the Restricted ADSs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ADRs and the Restricted ADSs evidenced thereby shall be treated as ADRs and ADSs issued and outstanding under the terms of the Deposit Agreement. In the event that, in determining the rights and obligations o f parties hereto with respect to any Restricted ADSs, any conflict arises between (a) the terms of the Deposit Agreement (other than this Section 2.14) and (b) the terms of (i) this Section 2.14 or</w:t>
      </w:r>
    </w:p>
    <w:p>
      <w:pPr>
        <w:spacing w:after="0" w:line="12" w:lineRule="exact"/>
        <w:rPr>
          <w:sz w:val="20"/>
          <w:szCs w:val="20"/>
          <w:color w:val="auto"/>
        </w:rPr>
      </w:pPr>
    </w:p>
    <w:p>
      <w:pPr>
        <w:ind w:right="100" w:firstLine="8"/>
        <w:spacing w:after="0" w:line="323" w:lineRule="auto"/>
        <w:tabs>
          <w:tab w:leader="none" w:pos="2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8" w:name="page29"/>
    <w:bookmarkEnd w:id="28"/>
    <w:p>
      <w:pPr>
        <w:spacing w:after="0" w:line="288" w:lineRule="auto"/>
        <w:rPr>
          <w:sz w:val="20"/>
          <w:szCs w:val="20"/>
          <w:color w:val="auto"/>
        </w:rPr>
      </w:pPr>
      <w:r>
        <w:rPr>
          <w:rFonts w:ascii="Arial" w:cs="Arial" w:eastAsia="Arial" w:hAnsi="Arial"/>
          <w:sz w:val="16"/>
          <w:szCs w:val="16"/>
          <w:color w:val="auto"/>
        </w:rPr>
        <w:t xml:space="preserve">If the Restricted ADRs, the Restricted ADSs and the Restricted Shares cease to be Restricted Securities, the Depositary, upon receipt of (x)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Pre-Release Transactions and for inclusion in the applicable book-entry settlement systems.</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868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rPr>
              <w:t>ARTICLE III</w:t>
            </w:r>
          </w:p>
        </w:tc>
      </w:tr>
      <w:tr>
        <w:trPr>
          <w:trHeight w:val="441"/>
        </w:trPr>
        <w:tc>
          <w:tcPr>
            <w:tcW w:w="1820" w:type="dxa"/>
            <w:vAlign w:val="bottom"/>
          </w:tcPr>
          <w:p>
            <w:pPr>
              <w:spacing w:after="0"/>
              <w:rPr>
                <w:sz w:val="24"/>
                <w:szCs w:val="24"/>
                <w:color w:val="auto"/>
              </w:rPr>
            </w:pPr>
          </w:p>
        </w:tc>
        <w:tc>
          <w:tcPr>
            <w:tcW w:w="868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rPr>
              <w:t>CERTAIN OBLIGATIONS OF HOLDERS</w:t>
            </w:r>
          </w:p>
        </w:tc>
      </w:tr>
      <w:tr>
        <w:trPr>
          <w:trHeight w:val="234"/>
        </w:trPr>
        <w:tc>
          <w:tcPr>
            <w:tcW w:w="1820" w:type="dxa"/>
            <w:vAlign w:val="bottom"/>
          </w:tcPr>
          <w:p>
            <w:pPr>
              <w:spacing w:after="0"/>
              <w:rPr>
                <w:sz w:val="20"/>
                <w:szCs w:val="20"/>
                <w:color w:val="auto"/>
              </w:rPr>
            </w:pPr>
          </w:p>
        </w:tc>
        <w:tc>
          <w:tcPr>
            <w:tcW w:w="868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w w:val="99"/>
              </w:rPr>
              <w:t>AND BENEFICIAL OWNERS OF ADSs</w:t>
            </w:r>
          </w:p>
        </w:tc>
      </w:tr>
      <w:tr>
        <w:trPr>
          <w:trHeight w:val="419"/>
        </w:trPr>
        <w:tc>
          <w:tcPr>
            <w:tcW w:w="1820" w:type="dxa"/>
            <w:vAlign w:val="bottom"/>
          </w:tcPr>
          <w:p>
            <w:pPr>
              <w:spacing w:after="0"/>
              <w:rPr>
                <w:sz w:val="20"/>
                <w:szCs w:val="20"/>
                <w:color w:val="auto"/>
              </w:rPr>
            </w:pPr>
            <w:r>
              <w:rPr>
                <w:rFonts w:ascii="Arial" w:cs="Arial" w:eastAsia="Arial" w:hAnsi="Arial"/>
                <w:sz w:val="18"/>
                <w:szCs w:val="18"/>
                <w:b w:val="1"/>
                <w:bCs w:val="1"/>
                <w:color w:val="auto"/>
              </w:rPr>
              <w:t>Section 3.1</w:t>
            </w:r>
          </w:p>
        </w:tc>
        <w:tc>
          <w:tcPr>
            <w:tcW w:w="8680" w:type="dxa"/>
            <w:vAlign w:val="bottom"/>
            <w:gridSpan w:val="2"/>
          </w:tcPr>
          <w:p>
            <w:pPr>
              <w:spacing w:after="0"/>
              <w:rPr>
                <w:sz w:val="20"/>
                <w:szCs w:val="20"/>
                <w:color w:val="auto"/>
              </w:rPr>
            </w:pPr>
            <w:r>
              <w:rPr>
                <w:rFonts w:ascii="Arial" w:cs="Arial" w:eastAsia="Arial" w:hAnsi="Arial"/>
                <w:sz w:val="18"/>
                <w:szCs w:val="18"/>
                <w:b w:val="1"/>
                <w:bCs w:val="1"/>
                <w:color w:val="auto"/>
                <w:w w:val="91"/>
              </w:rPr>
              <w:t xml:space="preserve">Proofs, Certificates and Other Information. </w:t>
            </w:r>
            <w:r>
              <w:rPr>
                <w:rFonts w:ascii="Arial" w:cs="Arial" w:eastAsia="Arial" w:hAnsi="Arial"/>
                <w:sz w:val="18"/>
                <w:szCs w:val="18"/>
                <w:color w:val="auto"/>
                <w:w w:val="91"/>
              </w:rPr>
              <w:t>Any person presenting Shares for deposit, any Holder and any Beneficial</w:t>
            </w:r>
          </w:p>
        </w:tc>
      </w:tr>
      <w:tr>
        <w:trPr>
          <w:trHeight w:val="20"/>
        </w:trPr>
        <w:tc>
          <w:tcPr>
            <w:tcW w:w="18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Owner 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and compliance with applicable laws, t he terms of the Deposit Agreement or the ADR(s) evidencing the ADSs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the terms of Section 7.8, the delivery of any Deposited Securities until such proo 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9" w:name="page30"/>
    <w:bookmarkEnd w:id="29"/>
    <w:p>
      <w:pPr>
        <w:ind w:firstLine="648"/>
        <w:spacing w:after="0" w:line="270"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Liability for Taxes and Other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Any tax or other governmental charge payable by the Custodian or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Depositary with respect to any ADR or any Deposited Securities or ADSs shall be payable by the Holders and Beneficial Owners to the Depositary. The Company, the Custodian and/or the Depositary may withhold or deduct from any distributions made in respect of Deposited Securities and may sell for the account of a Holder and/or Beneficial Owner any or all of the Deposited Securities and apply such distributions and sale proceeds in payment of any taxes (including applicable interest and penalties) or charges that are or may be payable by Holders or Beneficial Owners in respect of the ADSs, Deposited Securities and ADRs, the Holder and the Beneficial Owner remaining liable for any deficiency. The Custodian may refuse the deposit of Shares and the Depositary may refuse to issue ADSs, to deliver ADRs, to register the transfer of ADSs, to register the split-up or combination of ADRs and to permit (subject to Section 7.8) the withdrawal of Deposited Securities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or additions to tax (including applicable interest and penalties thereon) arising from any ta x benefit obtained for such Holder and/or Beneficial Owner.</w:t>
      </w:r>
    </w:p>
    <w:p>
      <w:pPr>
        <w:spacing w:after="0" w:line="20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0" w:name="page31"/>
    <w:bookmarkEnd w:id="30"/>
    <w:p>
      <w:pPr>
        <w:ind w:firstLine="648"/>
        <w:spacing w:after="0" w:line="255"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Compliance with Information Requests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the Deposit Agreement or any ADR(s),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each Holder and Beneficial Owner agrees to comply with requests from the Company pursuant to applicable law, the rules and requirements of the New York Stock Exchange and any other stock exchange on which the Shares or ADSs are, or will be, registered, traded or listed or the Articles of Association of the Company, which are made to provide information, </w:t>
      </w:r>
      <w:r>
        <w:rPr>
          <w:rFonts w:ascii="Arial" w:cs="Arial" w:eastAsia="Arial" w:hAnsi="Arial"/>
          <w:sz w:val="18"/>
          <w:szCs w:val="18"/>
          <w:i w:val="1"/>
          <w:iCs w:val="1"/>
          <w:color w:val="auto"/>
        </w:rPr>
        <w:t>inter alia</w:t>
      </w:r>
      <w:r>
        <w:rPr>
          <w:rFonts w:ascii="Arial" w:cs="Arial" w:eastAsia="Arial" w:hAnsi="Arial"/>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21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Ownership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in the Deposit Agreement or any ADR,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21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w:t>
      </w:r>
      <w:r>
        <w:rPr>
          <w:rFonts w:ascii="Arial" w:cs="Arial" w:eastAsia="Arial" w:hAnsi="Arial"/>
          <w:sz w:val="17"/>
          <w:szCs w:val="17"/>
          <w:b w:val="1"/>
          <w:bCs w:val="1"/>
          <w:color w:val="auto"/>
        </w:rPr>
        <w:t xml:space="preserve"> </w:t>
      </w:r>
      <w:r>
        <w:rPr>
          <w:rFonts w:ascii="Arial" w:cs="Arial" w:eastAsia="Arial" w:hAnsi="Arial"/>
          <w:sz w:val="17"/>
          <w:szCs w:val="17"/>
          <w:color w:val="auto"/>
        </w:rPr>
        <w:t>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&amp; #160;Each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DEPOSITED SECURITIES</w:t>
      </w:r>
    </w:p>
    <w:p>
      <w:pPr>
        <w:spacing w:after="0" w:line="252"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Whenever the Company intends to make a distribution of a cash dividend or other cash distribution,</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the Company shall give notice thereof to the Depositary at least twenty (20) days (or such other number of days as the Depositary and the Company may from time to time agree to) prior to the proposed distribution specifying, </w:t>
      </w:r>
      <w:r>
        <w:rPr>
          <w:rFonts w:ascii="Arial" w:cs="Arial" w:eastAsia="Arial" w:hAnsi="Arial"/>
          <w:sz w:val="16"/>
          <w:szCs w:val="16"/>
          <w:u w:val="single" w:color="auto"/>
          <w:color w:val="auto"/>
        </w:rPr>
        <w:t>inter alia</w:t>
      </w:r>
      <w:r>
        <w:rPr>
          <w:rFonts w:ascii="Arial" w:cs="Arial" w:eastAsia="Arial" w:hAnsi="Arial"/>
          <w:sz w:val="16"/>
          <w:szCs w:val="16"/>
          <w:color w:val="auto"/>
        </w:rPr>
        <w:t>, the record da te applicable for determining the holders of Deposited Securities entitled to receive such distribution. Upon the timely receipt of such notice, the Depositary shall establish an ADS Record Date upon the terms described in Section 4.9. Upon receipt of confirmation from the Custodian of the receipt of any cash dividend or other cash distribution on any Deposited Securities, or upon receipt of proceeds from the sale of any Deposited Securities or any other entitlements held in respect of Deposited Securities under the terms hereof, the Depositary will (i) if at the time of receipt thereof any amounts received in a Foreign Currency can, in the judgment of the Depositary (pursuant to Section 4.8), be converted on a practicable basis into Dollars transferable to the United States, promptly convert or cause to be converted such cash dividend, distribution or proceeds into Dollars (on the terms described in Section 4.8), (ii) if applicable and unless previously established, establish the ADS Record Date upon the terms described in Section 4.9, and (iii) distribute promptly the amount thus received (net of (a) the applicable fees and charges of, and expenses incurred by, the Depositary and (b)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or the Custodian, as the case may be, will forward to the Company or its agent such information from its records as the Company may reasonably request to enable the Company or its agents to file necessary reports with governmental authorities.</w:t>
      </w:r>
    </w:p>
    <w:p>
      <w:pPr>
        <w:spacing w:after="0" w:line="19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Distribution in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that consists of a dividend in, or free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distribution of, Shares, the Company shall give notice thereof to the Depositary at least twenty (20) days (or such other number of days as the Depositary and the Company may from time to time agree to) prior to the proposed distribution, specifying, </w:t>
      </w:r>
      <w:r>
        <w:rPr>
          <w:rFonts w:ascii="Arial" w:cs="Arial" w:eastAsia="Arial" w:hAnsi="Arial"/>
          <w:sz w:val="16"/>
          <w:szCs w:val="16"/>
          <w:u w:val="single" w:color="auto"/>
          <w:color w:val="auto"/>
        </w:rPr>
        <w:t>inter ali 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 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 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reasonable fees and charges of, and expenses incurred by, the Depositary) to Holders entitled thereto upon the terms described in Section 4.1. The Depositary shall hold and/or distribute any unsold balance of such property in accordance with the provisions of the Deposit Agreement.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ind w:firstLine="648"/>
        <w:spacing w:after="0" w:line="267" w:lineRule="auto"/>
        <w:rPr>
          <w:sz w:val="20"/>
          <w:szCs w:val="20"/>
          <w:color w:val="auto"/>
        </w:rPr>
      </w:pPr>
      <w:r>
        <w:rPr>
          <w:rFonts w:ascii="Arial" w:cs="Arial" w:eastAsia="Arial" w:hAnsi="Arial"/>
          <w:sz w:val="17"/>
          <w:szCs w:val="17"/>
          <w:b w:val="1"/>
          <w:bCs w:val="1"/>
          <w:color w:val="auto"/>
        </w:rPr>
        <w:t xml:space="preserve">Section 4.3 </w:t>
      </w:r>
      <w:r>
        <w:rPr>
          <w:rFonts w:ascii="Arial" w:cs="Arial" w:eastAsia="Arial" w:hAnsi="Arial"/>
          <w:sz w:val="17"/>
          <w:szCs w:val="17"/>
          <w:b w:val="1"/>
          <w:bCs w:val="1"/>
          <w:u w:val="single" w:color="auto"/>
          <w:color w:val="auto"/>
        </w:rPr>
        <w:t>Elective Distributions in Cash or Shares</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Company intends to make a distribution payable at the 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holders of Shares in cash or in additional Shares, the Company shall give notice thereof to the Depositary at least forty-five (45) days (or such other number of days as the Depositary and the Company may from time to time agree to) prior to the proposed distribution specifying, inter </w:t>
      </w:r>
      <w:r>
        <w:rPr>
          <w:rFonts w:ascii="Arial" w:cs="Arial" w:eastAsia="Arial" w:hAnsi="Arial"/>
          <w:sz w:val="17"/>
          <w:szCs w:val="17"/>
          <w:u w:val="single" w:color="auto"/>
          <w:color w:val="auto"/>
        </w:rPr>
        <w:t>alia</w:t>
      </w:r>
      <w:r>
        <w:rPr>
          <w:rFonts w:ascii="Arial" w:cs="Arial" w:eastAsia="Arial" w:hAnsi="Arial"/>
          <w:sz w:val="17"/>
          <w:szCs w:val="17"/>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 ary shall have received satisfactory documentation within the terms of Section 5.7. If the above conditions are not satisfied, the Depositary shall establish an ADS Record Date on the terms described in Section 4.9 and, to the extent permitted by law, distribute to the Holders, on the basis of the same determination as is made in the Cayman Islands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3" w:name="page34"/>
    <w:bookmarkEnd w:id="33"/>
    <w:p>
      <w:pPr>
        <w:ind w:left="620"/>
        <w:spacing w:after="0"/>
        <w:tabs>
          <w:tab w:leader="none" w:pos="242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u w:val="single" w:color="auto"/>
          <w:color w:val="auto"/>
        </w:rPr>
        <w:t>Distribution of Rights to Purchase Additional ADSs</w:t>
      </w:r>
      <w:r>
        <w:rPr>
          <w:rFonts w:ascii="Arial" w:cs="Arial" w:eastAsia="Arial" w:hAnsi="Arial"/>
          <w:sz w:val="16"/>
          <w:szCs w:val="16"/>
          <w:b w:val="1"/>
          <w:bCs w:val="1"/>
          <w:color w:val="auto"/>
        </w:rPr>
        <w:t>.</w:t>
      </w:r>
    </w:p>
    <w:p>
      <w:pPr>
        <w:spacing w:after="0" w:line="252" w:lineRule="exact"/>
        <w:rPr>
          <w:sz w:val="20"/>
          <w:szCs w:val="20"/>
          <w:color w:val="auto"/>
        </w:rPr>
      </w:pPr>
    </w:p>
    <w:p>
      <w:pPr>
        <w:ind w:left="-40" w:firstLine="656"/>
        <w:spacing w:after="0" w:line="286" w:lineRule="auto"/>
        <w:tabs>
          <w:tab w:leader="none" w:pos="1313"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Distribution to ADS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distribute to the holders of the Deposited Securities rights to subscribe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additional Shares, the Company shall give notice thereof to the Depositary at least forty-five (45) days (or such other number of days as the Depositary and the Company may from time to time agree to) prior to the proposed distribution specifying, </w:t>
      </w:r>
      <w:r>
        <w:rPr>
          <w:rFonts w:ascii="Arial" w:cs="Arial" w:eastAsia="Arial" w:hAnsi="Arial"/>
          <w:sz w:val="16"/>
          <w:szCs w:val="16"/>
          <w:u w:val="single" w:color="auto"/>
          <w:color w:val="auto"/>
        </w:rPr>
        <w:t>inter</w:t>
      </w:r>
      <w:r>
        <w:rPr>
          <w:rFonts w:ascii="Arial" w:cs="Arial" w:eastAsia="Arial" w:hAnsi="Arial"/>
          <w:sz w:val="16"/>
          <w:szCs w:val="16"/>
          <w:color w:val="auto"/>
        </w:rPr>
        <w:t xml:space="preserve"> alia,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 pany requests that the rights not be made available to Holders of ADSs, the Depositary shall proceed with the sale of the rights as contemplated in Section 4.4(b) below. In the event all conditions set forth above are satisfied, the Depositary shall establish an ADS Record Date (upon the terms described in Section 4.9) and establish procedures to (x) distribute rights to purchase additional ADSs (by means of warrants or otherwise), (y) to enable the Holders to exercise such rights (upon payment of the subscription price and of the applicable (a) fees and charges of, and expenses incurred by, the Depositary and (b) taxes), and (z) to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95" w:lineRule="exact"/>
        <w:rPr>
          <w:rFonts w:ascii="Arial" w:cs="Arial" w:eastAsia="Arial" w:hAnsi="Arial"/>
          <w:sz w:val="16"/>
          <w:szCs w:val="16"/>
          <w:b w:val="1"/>
          <w:bCs w:val="1"/>
          <w:color w:val="auto"/>
        </w:rPr>
      </w:pPr>
    </w:p>
    <w:p>
      <w:pPr>
        <w:ind w:left="-40" w:right="180" w:firstLine="656"/>
        <w:spacing w:after="0" w:line="273" w:lineRule="auto"/>
        <w:tabs>
          <w:tab w:leader="none" w:pos="1323"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Sale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(i) the Company does not timely request the Depositary to make the rights available to Holders or requests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 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13" w:right="259" w:bottom="1440" w:gutter="0" w:footer="0" w:header="0"/>
        </w:sectPr>
      </w:pPr>
    </w:p>
    <w:bookmarkStart w:id="34" w:name="page35"/>
    <w:bookmarkEnd w:id="34"/>
    <w:p>
      <w:pPr>
        <w:ind w:right="460" w:firstLine="656"/>
        <w:spacing w:after="0" w:line="313" w:lineRule="auto"/>
        <w:tabs>
          <w:tab w:leader="none" w:pos="1343"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Lapse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Depositary is unable to make any rights available to Holders upon the terms described in Section 4.4(a) or to</w:t>
      </w:r>
      <w:r>
        <w:rPr>
          <w:rFonts w:ascii="Arial" w:cs="Arial" w:eastAsia="Arial" w:hAnsi="Arial"/>
          <w:sz w:val="17"/>
          <w:szCs w:val="17"/>
          <w:b w:val="1"/>
          <w:bCs w:val="1"/>
          <w:color w:val="auto"/>
        </w:rPr>
        <w:t xml:space="preserve"> </w:t>
      </w:r>
      <w:r>
        <w:rPr>
          <w:rFonts w:ascii="Arial" w:cs="Arial" w:eastAsia="Arial" w:hAnsi="Arial"/>
          <w:sz w:val="17"/>
          <w:szCs w:val="17"/>
          <w:color w:val="auto"/>
        </w:rPr>
        <w:t>arrange for the sale of the rights upon the terms described in Section 4.4(b), the Depositary shall allow such rights to lapse.</w:t>
      </w:r>
    </w:p>
    <w:p>
      <w:pPr>
        <w:spacing w:after="0" w:line="16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0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 urities to Holders and Beneficial Owners are exempt from, or do not require registration under, the provisions of the Securities Act or any other applicable laws. A liquid market for rights may not exist, and this may adversely affect (1) the ability of the Depositary to dispose of such rights or (2) the amount the Depositary would realize upon disposal of rights.</w:t>
      </w:r>
    </w:p>
    <w:p>
      <w:pPr>
        <w:spacing w:after="0" w:line="20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property (including rights) an amount on account of taxes or other governmental charges, the amount distributed to the Holders of ADSs representing such Deposited Securities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or charg es.</w:t>
      </w:r>
    </w:p>
    <w:p>
      <w:pPr>
        <w:spacing w:after="0" w:line="20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5" w:name="page36"/>
    <w:bookmarkEnd w:id="35"/>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u w:val="single" w:color="auto"/>
          <w:color w:val="auto"/>
        </w:rPr>
        <w:t>Distributions Other Than Cash, Shares or Rights to Purchase Shares</w:t>
      </w:r>
      <w:r>
        <w:rPr>
          <w:rFonts w:ascii="Arial" w:cs="Arial" w:eastAsia="Arial" w:hAnsi="Arial"/>
          <w:sz w:val="16"/>
          <w:szCs w:val="16"/>
          <w:b w:val="1"/>
          <w:bCs w:val="1"/>
          <w:color w:val="auto"/>
        </w:rPr>
        <w:t>.</w:t>
      </w:r>
    </w:p>
    <w:p>
      <w:pPr>
        <w:spacing w:after="0" w:line="256" w:lineRule="exact"/>
        <w:rPr>
          <w:sz w:val="20"/>
          <w:szCs w:val="20"/>
          <w:color w:val="auto"/>
        </w:rPr>
      </w:pPr>
    </w:p>
    <w:p>
      <w:pPr>
        <w:ind w:right="100" w:firstLine="656"/>
        <w:spacing w:after="0" w:line="255" w:lineRule="auto"/>
        <w:tabs>
          <w:tab w:leader="none" w:pos="135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 ry to make such distribution to Holders, (ii) the Depositary shall have received satisfactory documentation within the terms of Section 5.7, and (iii) the Depositary shall have determined that such distribution is reasonably practicable.</w:t>
      </w:r>
    </w:p>
    <w:p>
      <w:pPr>
        <w:spacing w:after="0" w:line="216" w:lineRule="exact"/>
        <w:rPr>
          <w:rFonts w:ascii="Arial" w:cs="Arial" w:eastAsia="Arial" w:hAnsi="Arial"/>
          <w:sz w:val="18"/>
          <w:szCs w:val="18"/>
          <w:b w:val="1"/>
          <w:bCs w:val="1"/>
          <w:color w:val="auto"/>
        </w:rPr>
      </w:pPr>
    </w:p>
    <w:p>
      <w:pPr>
        <w:jc w:val="both"/>
        <w:ind w:firstLine="656"/>
        <w:spacing w:after="0" w:line="288" w:lineRule="auto"/>
        <w:tabs>
          <w:tab w:leader="none" w:pos="1363" w:val="left"/>
        </w:tabs>
        <w:numPr>
          <w:ilvl w:val="1"/>
          <w:numId w:val="20"/>
        </w:numPr>
        <w:rPr>
          <w:rFonts w:ascii="Arial" w:cs="Arial" w:eastAsia="Arial" w:hAnsi="Arial"/>
          <w:sz w:val="16"/>
          <w:szCs w:val="16"/>
          <w:b w:val="1"/>
          <w:bCs w:val="1"/>
          <w:color w:val="auto"/>
        </w:rPr>
      </w:pPr>
      <w:r>
        <w:rPr>
          <w:rFonts w:ascii="Arial" w:cs="Arial" w:eastAsia="Arial" w:hAnsi="Arial"/>
          <w:sz w:val="16"/>
          <w:szCs w:val="16"/>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w:t>
      </w:r>
    </w:p>
    <w:p>
      <w:pPr>
        <w:ind w:right="60" w:firstLine="8"/>
        <w:spacing w:after="0" w:line="254" w:lineRule="auto"/>
        <w:tabs>
          <w:tab w:leader="none" w:pos="2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16" w:lineRule="exact"/>
        <w:rPr>
          <w:rFonts w:ascii="Arial" w:cs="Arial" w:eastAsia="Arial" w:hAnsi="Arial"/>
          <w:sz w:val="18"/>
          <w:szCs w:val="18"/>
          <w:color w:val="auto"/>
        </w:rPr>
      </w:pPr>
    </w:p>
    <w:p>
      <w:pPr>
        <w:ind w:right="20" w:firstLine="656"/>
        <w:spacing w:after="0" w:line="272" w:lineRule="auto"/>
        <w:tabs>
          <w:tab w:leader="none" w:pos="1343" w:val="left"/>
        </w:tabs>
        <w:numPr>
          <w:ilvl w:val="1"/>
          <w:numId w:val="21"/>
        </w:numPr>
        <w:rPr>
          <w:rFonts w:ascii="Arial" w:cs="Arial" w:eastAsia="Arial" w:hAnsi="Arial"/>
          <w:sz w:val="17"/>
          <w:szCs w:val="17"/>
          <w:b w:val="1"/>
          <w:bCs w:val="1"/>
          <w:color w:val="auto"/>
        </w:rPr>
      </w:pPr>
      <w:r>
        <w:rPr>
          <w:rFonts w:ascii="Arial" w:cs="Arial" w:eastAsia="Arial" w:hAnsi="Arial"/>
          <w:sz w:val="17"/>
          <w:szCs w:val="17"/>
          <w:color w:val="auto"/>
        </w:rPr>
        <w:t>If (i) the Company does not request the Depositary to make such distribution to Holders or requests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 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201"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4.6</w:t>
      </w:r>
      <w:r>
        <w:rPr>
          <w:sz w:val="20"/>
          <w:szCs w:val="20"/>
          <w:color w:val="auto"/>
        </w:rPr>
        <w:tab/>
      </w:r>
      <w:r>
        <w:rPr>
          <w:rFonts w:ascii="Arial" w:cs="Arial" w:eastAsia="Arial" w:hAnsi="Arial"/>
          <w:sz w:val="16"/>
          <w:szCs w:val="16"/>
          <w:b w:val="1"/>
          <w:bCs w:val="1"/>
          <w:u w:val="single" w:color="auto"/>
          <w:color w:val="auto"/>
        </w:rPr>
        <w:t>Distributions with Respect to Deposited Securities in Bearer Form</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Subject to the terms of this Article IV, distributions</w:t>
      </w:r>
    </w:p>
    <w:p>
      <w:pPr>
        <w:spacing w:after="0" w:line="2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respect of Deposited Securities that are held by the Depositary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6" w:name="page37"/>
    <w:bookmarkEnd w:id="36"/>
    <w:p>
      <w:pPr>
        <w:jc w:val="both"/>
        <w:ind w:right="20" w:firstLine="648"/>
        <w:spacing w:after="0" w:line="289" w:lineRule="auto"/>
        <w:rPr>
          <w:sz w:val="20"/>
          <w:szCs w:val="20"/>
          <w:color w:val="auto"/>
        </w:rPr>
      </w:pPr>
      <w:r>
        <w:rPr>
          <w:rFonts w:ascii="Arial" w:cs="Arial" w:eastAsia="Arial" w:hAnsi="Arial"/>
          <w:sz w:val="16"/>
          <w:szCs w:val="16"/>
          <w:b w:val="1"/>
          <w:bCs w:val="1"/>
          <w:color w:val="auto"/>
        </w:rPr>
        <w:t xml:space="preserve">Section 4.7 </w:t>
      </w: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intends to exercise any right of redemption in respect of any of the Deposited Securities,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give notice thereof to the Depositary at least forty-five (45) days (or such other number of days as the Depositary and the Company may from time to time agree to) prior to the intended date of redemption which notice shall set forth the particulars of the proposed redemption. Upon timely receipt of</w:t>
      </w:r>
    </w:p>
    <w:p>
      <w:pPr>
        <w:spacing w:after="0" w:line="2" w:lineRule="exact"/>
        <w:rPr>
          <w:sz w:val="20"/>
          <w:szCs w:val="20"/>
          <w:color w:val="auto"/>
        </w:rPr>
      </w:pPr>
    </w:p>
    <w:p>
      <w:pPr>
        <w:ind w:firstLine="8"/>
        <w:spacing w:after="0" w:line="267" w:lineRule="auto"/>
        <w:tabs>
          <w:tab w:leader="none" w:pos="2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such notice and (ii) satisfactory document 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reasonable applicable fees and charges of, and expenses incurred by, the Depositary, and taxes) multiplied by the number of Deposited Securities represented by each ADS redeemed.</w:t>
      </w:r>
    </w:p>
    <w:p>
      <w:pPr>
        <w:spacing w:after="0" w:line="20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Conversion of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or the Custodian shall receive Foreign Currency, by way of</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or other distributions or the net proceeds from the sale of securities, property or rights,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 e Depositary shall convert or cause to be converted, by sale or in any other manner that it may determine, such Foreign Currency into Dollars, and shall distribute such Dollars (net of any applicable fees, any reasonable and customary expenses incurred in such conversion and any expenses incurred on behalf of the Holders in complying with currency exchange control or other governmental requirements) in accordance with the terms of the applicable sections of the Deposit Agreement.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9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7" w:name="page38"/>
    <w:bookmarkEnd w:id="37"/>
    <w:p>
      <w:pPr>
        <w:ind w:right="60" w:firstLine="648"/>
        <w:spacing w:after="0" w:line="272" w:lineRule="auto"/>
        <w:rPr>
          <w:sz w:val="20"/>
          <w:szCs w:val="20"/>
          <w:color w:val="auto"/>
        </w:rPr>
      </w:pPr>
      <w:r>
        <w:rPr>
          <w:rFonts w:ascii="Arial" w:cs="Arial" w:eastAsia="Arial" w:hAnsi="Arial"/>
          <w:sz w:val="17"/>
          <w:szCs w:val="17"/>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20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Section 4.9 </w:t>
      </w:r>
      <w:r>
        <w:rPr>
          <w:rFonts w:ascii="Arial" w:cs="Arial" w:eastAsia="Arial" w:hAnsi="Arial"/>
          <w:sz w:val="17"/>
          <w:szCs w:val="17"/>
          <w:b w:val="1"/>
          <w:bCs w:val="1"/>
          <w:u w:val="single" w:color="auto"/>
          <w:color w:val="auto"/>
        </w:rPr>
        <w:t>Fixing of ADS Record Date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shall receive notice of the fixing of a record date by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 ders of Shares or other Deposited Securities, or whenever the Depositary shall find it necessary or convenient in connection with the giving of any notice, solicitation of any consent or any other matter, the Depositary shall fix a record date (the “</w:t>
      </w:r>
      <w:r>
        <w:rPr>
          <w:rFonts w:ascii="Arial" w:cs="Arial" w:eastAsia="Arial" w:hAnsi="Arial"/>
          <w:sz w:val="17"/>
          <w:szCs w:val="17"/>
          <w:u w:val="single" w:color="auto"/>
          <w:color w:val="auto"/>
        </w:rPr>
        <w:t>ADS</w:t>
      </w:r>
      <w:r>
        <w:rPr>
          <w:rFonts w:ascii="Arial" w:cs="Arial" w:eastAsia="Arial" w:hAnsi="Arial"/>
          <w:sz w:val="17"/>
          <w:szCs w:val="17"/>
          <w:color w:val="auto"/>
        </w:rPr>
        <w:t xml:space="preserve"> </w:t>
      </w:r>
      <w:r>
        <w:rPr>
          <w:rFonts w:ascii="Arial" w:cs="Arial" w:eastAsia="Arial" w:hAnsi="Arial"/>
          <w:sz w:val="17"/>
          <w:szCs w:val="17"/>
          <w:u w:val="single" w:color="auto"/>
          <w:color w:val="auto"/>
        </w:rPr>
        <w:t>Record Date</w:t>
      </w:r>
      <w:r>
        <w:rPr>
          <w:rFonts w:ascii="Arial" w:cs="Arial" w:eastAsia="Arial" w:hAnsi="Arial"/>
          <w:sz w:val="17"/>
          <w:szCs w:val="17"/>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the Cayman Islands.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07" w:lineRule="exact"/>
        <w:rPr>
          <w:sz w:val="20"/>
          <w:szCs w:val="20"/>
          <w:color w:val="auto"/>
        </w:rPr>
      </w:pPr>
    </w:p>
    <w:p>
      <w:pPr>
        <w:ind w:left="660"/>
        <w:spacing w:after="0"/>
        <w:tabs>
          <w:tab w:leader="none" w:pos="2540" w:val="left"/>
        </w:tabs>
        <w:rPr>
          <w:sz w:val="20"/>
          <w:szCs w:val="20"/>
          <w:color w:val="auto"/>
        </w:rPr>
      </w:pPr>
      <w:r>
        <w:rPr>
          <w:rFonts w:ascii="Arial" w:cs="Arial" w:eastAsia="Arial" w:hAnsi="Arial"/>
          <w:sz w:val="18"/>
          <w:szCs w:val="18"/>
          <w:b w:val="1"/>
          <w:bCs w:val="1"/>
          <w:color w:val="auto"/>
        </w:rPr>
        <w:t>Section 4.10</w:t>
      </w:r>
      <w:r>
        <w:rPr>
          <w:sz w:val="20"/>
          <w:szCs w:val="20"/>
          <w:color w:val="auto"/>
        </w:rPr>
        <w:tab/>
      </w:r>
      <w:r>
        <w:rPr>
          <w:rFonts w:ascii="Arial" w:cs="Arial" w:eastAsia="Arial" w:hAnsi="Arial"/>
          <w:sz w:val="15"/>
          <w:szCs w:val="15"/>
          <w:b w:val="1"/>
          <w:bCs w:val="1"/>
          <w:u w:val="single" w:color="auto"/>
          <w:color w:val="auto"/>
        </w:rPr>
        <w:t>Voting of Deposited Securities</w:t>
      </w:r>
      <w:r>
        <w:rPr>
          <w:rFonts w:ascii="Arial" w:cs="Arial" w:eastAsia="Arial" w:hAnsi="Arial"/>
          <w:sz w:val="15"/>
          <w:szCs w:val="15"/>
          <w:b w:val="1"/>
          <w:bCs w:val="1"/>
          <w:color w:val="auto"/>
        </w:rPr>
        <w:t>.</w:t>
      </w:r>
    </w:p>
    <w:p>
      <w:pPr>
        <w:spacing w:after="0" w:line="256"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as soon as practicable after receipt thereof to Holders as of the ADS Record Date: (a) such notice of meeting or solicitatio 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to the Depositary or in which voting instructions may be deemed to have been given in accordance with this Section 4.10 if no instructions are received prior to the deadline set for such purposes to the Depositary to give a discretionary proxy to a person designated by the Company.</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ind w:firstLine="810"/>
        <w:spacing w:after="0" w:line="257" w:lineRule="auto"/>
        <w:rPr>
          <w:sz w:val="20"/>
          <w:szCs w:val="20"/>
          <w:color w:val="auto"/>
        </w:rPr>
      </w:pPr>
      <w:r>
        <w:rPr>
          <w:rFonts w:ascii="Arial" w:cs="Arial" w:eastAsia="Arial" w:hAnsi="Arial"/>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 to Holders, instructions on how to retrieve such materials or receive such materials upon request (i.e., by reference to a website containing the materials for retrieval or a contact for requesting copies of the materials).</w:t>
      </w:r>
    </w:p>
    <w:p>
      <w:pPr>
        <w:spacing w:after="0" w:line="215"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The Depositary has been advised by the Company that under the Cayman Islands law as in effect as of the date of the Deposit Agreement, voting at any meeting of shareholders is by show of hands unless a poll is demanded. The Depositary will not join in demanding a poll, whether or not requested to do so by Holders of ADSs. Under the Articles of Association of the Company (as in effect on the date of the Deposit Agreement) a poll may be demanded by one or more shareholders present in person or by proxy entitled to vote and who together hold not less than 10 percent of the paid up voting share capital of the Company.</w:t>
      </w:r>
    </w:p>
    <w:p>
      <w:pPr>
        <w:spacing w:after="0" w:line="215"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(i) in the event voting takes place at a shareholders’ meeting by show of hands, the Depositary will instruct the Custodian to vote all Deposited Securities in accordance with the voting instructio ns received from a majority of Holders of ADSs who provided voting instructions and (ii) in the event voting takes place at a shareholders’ meeting by poll, the Depositary will instruct the Custodian to vote the Deposited Securities in accordance with the voting instructions received from the Holders of ADSs. If the Depositary does not receive instructions from a Holder as of the ADS Record Date on or before the date established by the Depositary for such purpose and voting is by poll, such Holder shall be deemed, and the Depositary shall (unless otherwise specified in the notice distributed to Holders)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 ven, (B) substantial opposition exists, or (C) the rights of holders of Deposited Securities may be materially adversely affected.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9" w:name="page40"/>
    <w:bookmarkEnd w:id="39"/>
    <w:p>
      <w:pPr>
        <w:ind w:right="40" w:firstLine="810"/>
        <w:spacing w:after="0" w:line="269" w:lineRule="auto"/>
        <w:rPr>
          <w:sz w:val="20"/>
          <w:szCs w:val="20"/>
          <w:color w:val="auto"/>
        </w:rPr>
      </w:pPr>
      <w:r>
        <w:rPr>
          <w:rFonts w:ascii="Arial" w:cs="Arial" w:eastAsia="Arial" w:hAnsi="Arial"/>
          <w:sz w:val="17"/>
          <w:szCs w:val="17"/>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 h in such voting instructions. Deposited Securities represented by ADSs for which no timely voting instructions are received by the Depositary from the Holder shall not be voted (except (i) in the case voting at the shareholders meeting is by show of hands, in which case the Depositary will instruct the Custodian to vote all Deposited Securities in accordance with the voting instructions received from a majority of Holders of ADSs who provided voting instructions and (ii) as contemplated in this Section 4.10).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207"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Cayman Islands law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215"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9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w:t>
      </w:r>
      <w:r>
        <w:rPr>
          <w:rFonts w:ascii="Arial" w:cs="Arial" w:eastAsia="Arial" w:hAnsi="Arial"/>
          <w:sz w:val="16"/>
          <w:szCs w:val="16"/>
          <w:b w:val="1"/>
          <w:bCs w:val="1"/>
          <w:color w:val="auto"/>
        </w:rPr>
        <w:t xml:space="preserve"> </w:t>
      </w:r>
      <w:r>
        <w:rPr>
          <w:rFonts w:ascii="Arial" w:cs="Arial" w:eastAsia="Arial" w:hAnsi="Arial"/>
          <w:sz w:val="16"/>
          <w:szCs w:val="16"/>
          <w:color w:val="auto"/>
        </w:rPr>
        <w:t>or any other reclassification of Deposited Securities, or upon any recapitalization, reorganization, merger, consolidation or sale of assets affecting the Company or to which it is a party, any securities which shall be received by the Depositary or the Custodian in exchange for, or in conversion of or replacement of or otherwise in respect of, such Deposited Securities shall, to the extent permitted by law, be treated as new Deposited Securities under the Deposit Agreement, and the ADRs shall, subject to the provisions of the Deposit Agreement and applicable law, evidence ADSs representing the right to receive such additional or replacement securities, as applicable.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 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security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securities at public or private sale, at such place or places and upon such terms as it may deem proper and may allocate the net proceeds of such sales (net of (a) reas onable fees and charges of, and expenses incurred by, the Depositary and (b) taxes) for the account of the Holders otherwise entitled to such securities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feasible to make such securities available to Holders in general or to any Holder in particular, (ii) any foreign exchange exposure or loss incurred in connection with such sale, or (iii) any liability to the purchaser of such securities.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ind w:left="660"/>
        <w:spacing w:after="0"/>
        <w:tabs>
          <w:tab w:leader="none" w:pos="2540" w:val="left"/>
        </w:tabs>
        <w:rPr>
          <w:sz w:val="20"/>
          <w:szCs w:val="20"/>
          <w:color w:val="auto"/>
        </w:rPr>
      </w:pPr>
      <w:r>
        <w:rPr>
          <w:rFonts w:ascii="Arial" w:cs="Arial" w:eastAsia="Arial" w:hAnsi="Arial"/>
          <w:sz w:val="18"/>
          <w:szCs w:val="18"/>
          <w:b w:val="1"/>
          <w:bCs w:val="1"/>
          <w:color w:val="auto"/>
        </w:rPr>
        <w:t>Section 4.12</w:t>
      </w:r>
      <w:r>
        <w:rPr>
          <w:sz w:val="20"/>
          <w:szCs w:val="20"/>
          <w:color w:val="auto"/>
        </w:rPr>
        <w:tab/>
      </w:r>
      <w:r>
        <w:rPr>
          <w:rFonts w:ascii="Arial" w:cs="Arial" w:eastAsia="Arial" w:hAnsi="Arial"/>
          <w:sz w:val="16"/>
          <w:szCs w:val="16"/>
          <w:b w:val="1"/>
          <w:bCs w:val="1"/>
          <w:u w:val="single" w:color="auto"/>
          <w:color w:val="auto"/>
        </w:rPr>
        <w:t>Available Information</w:t>
      </w:r>
      <w:r>
        <w:rPr>
          <w:rFonts w:ascii="Arial" w:cs="Arial" w:eastAsia="Arial" w:hAnsi="Arial"/>
          <w:sz w:val="16"/>
          <w:szCs w:val="16"/>
          <w:b w:val="1"/>
          <w:bCs w:val="1"/>
          <w:color w:val="auto"/>
        </w:rPr>
        <w:t>.</w:t>
      </w:r>
    </w:p>
    <w:p>
      <w:pPr>
        <w:spacing w:after="0" w:line="256"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Company is subject to the periodic reporting requirements of the Exchange Act and, accordingly, is required to file or submit certain reports with the Commission. These reports can be retrieved from the Commission's website (</w:t>
      </w:r>
      <w:r>
        <w:rPr>
          <w:rFonts w:ascii="Arial" w:cs="Arial" w:eastAsia="Arial" w:hAnsi="Arial"/>
          <w:sz w:val="16"/>
          <w:szCs w:val="16"/>
          <w:u w:val="single" w:color="auto"/>
          <w:color w:val="auto"/>
        </w:rPr>
        <w:t>www.sec.gov</w:t>
      </w:r>
      <w:r>
        <w:rPr>
          <w:rFonts w:ascii="Arial" w:cs="Arial" w:eastAsia="Arial" w:hAnsi="Arial"/>
          <w:sz w:val="16"/>
          <w:szCs w:val="16"/>
          <w:color w:val="auto"/>
        </w:rPr>
        <w:t>) and can be inspected and copied at the public reference facilities maintained by the Commission located (as of the date of the Deposit Agreement) at 100 F Street, N.E., Washington D.C. 20549.</w:t>
      </w:r>
    </w:p>
    <w:p>
      <w:pPr>
        <w:spacing w:after="0" w:line="170" w:lineRule="exact"/>
        <w:rPr>
          <w:sz w:val="20"/>
          <w:szCs w:val="20"/>
          <w:color w:val="auto"/>
        </w:rPr>
      </w:pPr>
    </w:p>
    <w:p>
      <w:pPr>
        <w:ind w:left="660"/>
        <w:spacing w:after="0"/>
        <w:tabs>
          <w:tab w:leader="none" w:pos="2540" w:val="left"/>
        </w:tabs>
        <w:rPr>
          <w:sz w:val="20"/>
          <w:szCs w:val="20"/>
          <w:color w:val="auto"/>
        </w:rPr>
      </w:pPr>
      <w:r>
        <w:rPr>
          <w:rFonts w:ascii="Arial" w:cs="Arial" w:eastAsia="Arial" w:hAnsi="Arial"/>
          <w:sz w:val="18"/>
          <w:szCs w:val="18"/>
          <w:b w:val="1"/>
          <w:bCs w:val="1"/>
          <w:color w:val="auto"/>
        </w:rPr>
        <w:t>Section 4.13</w:t>
      </w:r>
      <w:r>
        <w:rPr>
          <w:sz w:val="20"/>
          <w:szCs w:val="20"/>
          <w:color w:val="auto"/>
        </w:rPr>
        <w:tab/>
      </w:r>
      <w:r>
        <w:rPr>
          <w:rFonts w:ascii="Arial" w:cs="Arial" w:eastAsia="Arial" w:hAnsi="Arial"/>
          <w:sz w:val="16"/>
          <w:szCs w:val="16"/>
          <w:b w:val="1"/>
          <w:bCs w:val="1"/>
          <w:u w:val="single" w:color="auto"/>
          <w:color w:val="auto"/>
        </w:rPr>
        <w:t>Reports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Depositary shall make available for inspection by Holders at its Principal Office any reports and</w:t>
      </w:r>
    </w:p>
    <w:p>
      <w:pPr>
        <w:spacing w:after="0" w:line="2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communications, including any proxy soliciting materials, received from the Company which are both (a) received by the Depositary, the Custodian, or the nominee of either of them as the holder of the Deposited Securities and (b) made generally available to the holders of such Deposited Securities by the Company. The Depositary shall also provide or make available to Holders copies of such reports when furnished by the Company pursuant to Section 5.6.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ind w:left="660"/>
              <w:spacing w:after="0"/>
              <w:rPr>
                <w:sz w:val="20"/>
                <w:szCs w:val="20"/>
                <w:color w:val="auto"/>
              </w:rPr>
            </w:pPr>
            <w:r>
              <w:rPr>
                <w:rFonts w:ascii="Arial" w:cs="Arial" w:eastAsia="Arial" w:hAnsi="Arial"/>
                <w:sz w:val="18"/>
                <w:szCs w:val="18"/>
                <w:b w:val="1"/>
                <w:bCs w:val="1"/>
                <w:color w:val="auto"/>
              </w:rPr>
              <w:t>Section 4.14</w:t>
            </w:r>
          </w:p>
        </w:tc>
        <w:tc>
          <w:tcPr>
            <w:tcW w:w="8780" w:type="dxa"/>
            <w:vAlign w:val="bottom"/>
            <w:gridSpan w:val="3"/>
          </w:tcPr>
          <w:p>
            <w:pPr>
              <w:spacing w:after="0"/>
              <w:rPr>
                <w:sz w:val="20"/>
                <w:szCs w:val="20"/>
                <w:color w:val="auto"/>
              </w:rPr>
            </w:pPr>
            <w:r>
              <w:rPr>
                <w:rFonts w:ascii="Arial" w:cs="Arial" w:eastAsia="Arial" w:hAnsi="Arial"/>
                <w:sz w:val="18"/>
                <w:szCs w:val="18"/>
                <w:b w:val="1"/>
                <w:bCs w:val="1"/>
                <w:color w:val="auto"/>
                <w:w w:val="93"/>
              </w:rPr>
              <w:t xml:space="preserve">List of Holders. </w:t>
            </w:r>
            <w:r>
              <w:rPr>
                <w:rFonts w:ascii="Arial" w:cs="Arial" w:eastAsia="Arial" w:hAnsi="Arial"/>
                <w:sz w:val="18"/>
                <w:szCs w:val="18"/>
                <w:color w:val="auto"/>
                <w:w w:val="93"/>
              </w:rPr>
              <w:t>Promptly upon written request by the Company, the Depositary shall furnish to it a list, as of a recent</w:t>
            </w:r>
          </w:p>
        </w:tc>
      </w:tr>
      <w:tr>
        <w:trPr>
          <w:trHeight w:val="20"/>
        </w:trPr>
        <w:tc>
          <w:tcPr>
            <w:tcW w:w="2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37"/>
        </w:trPr>
        <w:tc>
          <w:tcPr>
            <w:tcW w:w="11340" w:type="dxa"/>
            <w:vAlign w:val="bottom"/>
            <w:gridSpan w:val="4"/>
          </w:tcPr>
          <w:p>
            <w:pPr>
              <w:spacing w:after="0"/>
              <w:rPr>
                <w:sz w:val="20"/>
                <w:szCs w:val="20"/>
                <w:color w:val="auto"/>
              </w:rPr>
            </w:pPr>
            <w:r>
              <w:rPr>
                <w:rFonts w:ascii="Arial" w:cs="Arial" w:eastAsia="Arial" w:hAnsi="Arial"/>
                <w:sz w:val="18"/>
                <w:szCs w:val="18"/>
                <w:color w:val="auto"/>
              </w:rPr>
              <w:t>date, of the names, addresses and holdings of ADSs of all Holders.</w:t>
            </w:r>
          </w:p>
        </w:tc>
      </w:tr>
      <w:tr>
        <w:trPr>
          <w:trHeight w:val="419"/>
        </w:trPr>
        <w:tc>
          <w:tcPr>
            <w:tcW w:w="2560" w:type="dxa"/>
            <w:vAlign w:val="bottom"/>
          </w:tcPr>
          <w:p>
            <w:pPr>
              <w:ind w:left="660"/>
              <w:spacing w:after="0"/>
              <w:rPr>
                <w:sz w:val="20"/>
                <w:szCs w:val="20"/>
                <w:color w:val="auto"/>
              </w:rPr>
            </w:pPr>
            <w:r>
              <w:rPr>
                <w:rFonts w:ascii="Arial" w:cs="Arial" w:eastAsia="Arial" w:hAnsi="Arial"/>
                <w:sz w:val="18"/>
                <w:szCs w:val="18"/>
                <w:b w:val="1"/>
                <w:bCs w:val="1"/>
                <w:color w:val="auto"/>
              </w:rPr>
              <w:t>Section 4.15</w:t>
            </w:r>
          </w:p>
        </w:tc>
        <w:tc>
          <w:tcPr>
            <w:tcW w:w="8780" w:type="dxa"/>
            <w:vAlign w:val="bottom"/>
            <w:gridSpan w:val="3"/>
          </w:tcPr>
          <w:p>
            <w:pPr>
              <w:spacing w:after="0"/>
              <w:rPr>
                <w:sz w:val="20"/>
                <w:szCs w:val="20"/>
                <w:color w:val="auto"/>
              </w:rPr>
            </w:pPr>
            <w:r>
              <w:rPr>
                <w:rFonts w:ascii="Arial" w:cs="Arial" w:eastAsia="Arial" w:hAnsi="Arial"/>
                <w:sz w:val="18"/>
                <w:szCs w:val="18"/>
                <w:b w:val="1"/>
                <w:bCs w:val="1"/>
                <w:color w:val="auto"/>
                <w:w w:val="92"/>
              </w:rPr>
              <w:t>Taxation</w:t>
            </w:r>
            <w:r>
              <w:rPr>
                <w:rFonts w:ascii="Arial" w:cs="Arial" w:eastAsia="Arial" w:hAnsi="Arial"/>
                <w:sz w:val="18"/>
                <w:szCs w:val="18"/>
                <w:color w:val="auto"/>
                <w:w w:val="92"/>
              </w:rPr>
              <w:t>. The Depositary will, and will instruct the Custodian to, forward to the Company or its agents such information</w:t>
            </w:r>
          </w:p>
        </w:tc>
      </w:tr>
      <w:tr>
        <w:trPr>
          <w:trHeight w:val="20"/>
        </w:trPr>
        <w:tc>
          <w:tcPr>
            <w:tcW w:w="2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from its records as the Company may reasonably request to enable the Company or its agents to file the necessary tax reports with governmental authorities or agencies. The Depositary, the Custodian or the Company and its agents may (but shall not be obligated to) file such reports as are necessary to reduce or eliminate applicable taxes on dividends and on other distributions in respect of Deposited Securities under ap 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Securities.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6"/>
          <w:szCs w:val="16"/>
          <w:color w:val="auto"/>
        </w:rPr>
        <w:t>If the Company (or any of its agents) withholds from any distribution any amount on account of taxes or governmental charges, or pays any other tax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respect of such distribution (</w:t>
      </w:r>
      <w:r>
        <w:rPr>
          <w:rFonts w:ascii="Arial" w:cs="Arial" w:eastAsia="Arial" w:hAnsi="Arial"/>
          <w:sz w:val="16"/>
          <w:szCs w:val="16"/>
          <w:i w:val="1"/>
          <w:iCs w:val="1"/>
          <w:color w:val="auto"/>
        </w:rPr>
        <w:t>i.e.</w:t>
      </w:r>
      <w:r>
        <w:rPr>
          <w:rFonts w:ascii="Arial" w:cs="Arial" w:eastAsia="Arial" w:hAnsi="Arial"/>
          <w:sz w:val="16"/>
          <w:szCs w:val="16"/>
          <w:color w:val="auto"/>
        </w:rPr>
        <w:t>, stamp duty tax, capital gains or other similar tax), the Company shall (and shall cause such agent to) remit promptly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Depositary information about such taxes or governmental charges withheld or paid, and, if so requested, the tax receipt (or other proof of payment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governmental authority) therefor, in each case, in a form satisfactory to the Depositary. The Depositary shall, to the extent required by U.S. law,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report to Holders any taxes withheld by it or the Custodian, and, if such information is provided to it by the Company, any taxes withheld by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Company. The Depositary and the Custodian shall not be required to provide the Holders with any evidence of the remittance by the Company (or its agents)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taxes withheld, or of the payment of taxes by the Company, except to the extent the evidence is provided by the Company to the Depositary 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Custodian, as applicable. Neither the Depositary nor the Custodian shall be liable for the failure by any Holder or Beneficial Owner to obtain the benefits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credits on the basis of non-U.S. tax paid against such Holder’s or Beneficial Owner’s income tax liability.</w:t>
      </w:r>
    </w:p>
    <w:p>
      <w:pPr>
        <w:spacing w:after="0" w:line="238"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52"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6"/>
          <w:szCs w:val="16"/>
          <w:b w:val="1"/>
          <w:bCs w:val="1"/>
          <w:u w:val="single" w:color="auto"/>
          <w:color w:val="auto"/>
        </w:rPr>
        <w:t>Maintenance of Office and Transfer Books by the Registrar</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Until termination of the Deposit Agreement in accordance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with 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217"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w:t>
      </w:r>
    </w:p>
    <w:p>
      <w:pPr>
        <w:spacing w:after="0" w:line="15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The Depositary shall promptly notify the Company of any such removal or appointment.</w:t>
      </w:r>
    </w:p>
    <w:p>
      <w:pPr>
        <w:spacing w:after="0" w:line="21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Depositary nor the Company shall be obligated to do or perform any act which is inconsistent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provisions of the Deposit Agreement or incur any liability (i) if the Depositary or the Company shall be prevented or forbidden from, or delayed in, doing or performing any act or thing required by the terms of the Deposit Agreement, by reason of any provision of any present or future law or regulation of the United States, the Cayman Islands or any other country, or of any other governmental authority or regulatory authority or stock exchange, or on account of the possible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 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for any breach of the terms of the Deposit Agreement.</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 w:name="page44"/>
    <w:bookmarkEnd w:id="43"/>
    <w:p>
      <w:pPr>
        <w:ind w:right="180" w:firstLine="648"/>
        <w:spacing w:after="0" w:line="264" w:lineRule="auto"/>
        <w:rPr>
          <w:sz w:val="20"/>
          <w:szCs w:val="20"/>
          <w:color w:val="auto"/>
        </w:rPr>
      </w:pPr>
      <w:r>
        <w:rPr>
          <w:rFonts w:ascii="Arial" w:cs="Arial" w:eastAsia="Arial" w:hAnsi="Arial"/>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disclaimer of liability under the Securities Act is intended by any provision of the Deposit Agreement.</w:t>
      </w:r>
    </w:p>
    <w:p>
      <w:pPr>
        <w:spacing w:after="0" w:line="248"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20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Securities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21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in accordance with the terms of the Deposit Agreement.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6"/>
          <w:szCs w:val="16"/>
          <w:b w:val="1"/>
          <w:bCs w:val="1"/>
          <w:u w:val="single" w:color="auto"/>
          <w:color w:val="auto"/>
        </w:rPr>
        <w:t>Resignation and Removal of the Depositary; Appointment of Successor Depositary</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Depositary may at any time</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resign as 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 tment as hereinafter provided.</w:t>
      </w:r>
    </w:p>
    <w:p>
      <w:pPr>
        <w:spacing w:after="0" w:line="217"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or (ii) upon the appointment by the Company of a successor depositary and its acceptance of such appointment as hereinafter provided.</w:t>
      </w:r>
    </w:p>
    <w:p>
      <w:pPr>
        <w:spacing w:after="0" w:line="193"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 xecute and deliver an instrument transferring to such successor all rights and powers of such predecessor hereunder (other than as contemplated in Sections 5.8 and 5.9), (ii) duly assign, transfer and deliver all right, title and interest to the Deposited Securities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9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corporation into or with which the Depositary may be merged or consolidated shall be the successor of the Depositary without the execution or filing of any document or any further act.</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The Custodian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initially appointed Citibank, N.A. - Hong Kong as Custodian for the purpose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Agreement. The Custodian or its successors in acting hereunder shall be subject at all times and in all respects to the direction of the Depositary for the Deposited Securities for which the Custodian acts as custodian and shall be responsible solely to it. If any Custodian resigns or is discharged from its duties hereunder with respect to any Deposi ted Securities and no other Custodian has previously been appointed hereunder, the Depositary shall promptly appoint a substitute custodian. The Depositary shall require such resigning or discharged Custodian to Deliver, or cause the Delivery of, the Deposited Securities held by it, together with all such records maintained by it as Custodian with respect to such Deposited Securities as the Depositary may request, to the Custodian designated by the Depositary. Whenever the Depositary determines, in its discretion, that it is appropriate to do so, it may appoint an additional custodian with respect to any Deposited Securities, or discharge the Custodian with respect to any Deposited Securities and appoint a substitute custodian, which shall thereafter be Custodian hereunder with respect to the Deposited Securities. Immediately upon any such change, the Depositary shall give notice thereof in writing to all Holders of ADSs, each other Custodian and the Company.</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5" w:name="page46"/>
    <w:bookmarkEnd w:id="45"/>
    <w:p>
      <w:pPr>
        <w:ind w:left="660"/>
        <w:spacing w:after="0"/>
        <w:rPr>
          <w:sz w:val="20"/>
          <w:szCs w:val="20"/>
          <w:color w:val="auto"/>
        </w:rPr>
      </w:pPr>
      <w:r>
        <w:rPr>
          <w:rFonts w:ascii="Arial" w:cs="Arial" w:eastAsia="Arial" w:hAnsi="Arial"/>
          <w:sz w:val="17"/>
          <w:szCs w:val="17"/>
          <w:color w:val="auto"/>
        </w:rPr>
        <w:t>Upon the appointment of any successor depositary, any Custodian then acting hereunder shall, unless otherwise instructed by the Depositary,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continue to be the Custodian of the Deposited Securities without any further act or writing, and shall be subject to the direction of the successor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depositary. The successor depositary so appointed shall, nevertheless, on the written request of any Custodian, execute and deliver to such Custodian all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instruments as may be proper to give to such Custodian full and complete power and authority to act on the direction of such successor depositary.</w:t>
      </w:r>
    </w:p>
    <w:p>
      <w:pPr>
        <w:spacing w:after="0" w:line="24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 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22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 ch amendment thereto or change therein. The Depositary may rely upon such copy for all purposes of the Deposit Agreement.</w:t>
      </w:r>
    </w:p>
    <w:p>
      <w:pPr>
        <w:spacing w:after="0" w:line="20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204"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to shareholders of additional Shares, (ii) an offering of rights to shareholders to subscribe for Shares or other Deposited Securities, (iii) an issuance or assumption of securities convertible into or exchangeable for Shares, (iv) an issuance to shareholders of rights to subscribe for securities convertible into or exchangeable for Shares, (v) an elective divide 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to shareholders of securities other than Shares, it will obtain U.S. legal advice and take all steps necessary to ensure that the proposed transaction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 n (1) requires a registration statement under the Securities Act to be in effect or (2) is exempt from the registration requirements of the Securities Act and (b) an opinion of the Cayman Islands counsel stating that (1) making the transaction available to Holders and Beneficial Owners does not violate the laws or regulations of the Cayman Islands and (2) all requisite regulatory consents and approvals have been obtained in the Cayman Islands.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 e Exchange Act and the securities laws of the states of the U.S.).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6" w:name="page47"/>
    <w:bookmarkEnd w:id="46"/>
    <w:p>
      <w:pPr>
        <w:ind w:right="120" w:firstLine="648"/>
        <w:spacing w:after="0" w:line="277" w:lineRule="auto"/>
        <w:rPr>
          <w:sz w:val="20"/>
          <w:szCs w:val="20"/>
          <w:color w:val="auto"/>
        </w:rPr>
      </w:pPr>
      <w:r>
        <w:rPr>
          <w:rFonts w:ascii="Arial" w:cs="Arial" w:eastAsia="Arial" w:hAnsi="Arial"/>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93"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 xml:space="preserve">Section 5.8 </w:t>
      </w:r>
      <w:r>
        <w:rPr>
          <w:rFonts w:ascii="Arial" w:cs="Arial" w:eastAsia="Arial" w:hAnsi="Arial"/>
          <w:sz w:val="17"/>
          <w:szCs w:val="17"/>
          <w:b w:val="1"/>
          <w:bCs w:val="1"/>
          <w:u w:val="single" w:color="auto"/>
          <w:color w:val="auto"/>
        </w:rPr>
        <w:t>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agrees to indemnify the Company and its directors, officers, employees, agents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against, and hold each of them harmless from, any direct loss, liability, tax, charge or expense of any kind whatsoever (including, but not limited to, the reasonable fees and expenses of counsel) which may arise out of acts performed or omitted by the Depositary and the Custodian (for so long as the Custodian is a branch of Citibank, N.A.) under the terms hereof due to the negligence or bad faith of the Depositary or such Custodian, as applicable.</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47" w:name="page48"/>
    <w:bookmarkEnd w:id="47"/>
    <w:p>
      <w:pPr>
        <w:ind w:right="80" w:firstLine="648"/>
        <w:spacing w:after="0" w:line="269" w:lineRule="auto"/>
        <w:rPr>
          <w:sz w:val="20"/>
          <w:szCs w:val="20"/>
          <w:color w:val="auto"/>
        </w:rPr>
      </w:pPr>
      <w:r>
        <w:rPr>
          <w:rFonts w:ascii="Arial" w:cs="Arial" w:eastAsia="Arial" w:hAnsi="Arial"/>
          <w:sz w:val="17"/>
          <w:szCs w:val="17"/>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the ADRs, the ADSs, the Shares, or an y Deposited Securities,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The Company shall not indemnify the Depositary or the Custodian (for so long as the Custodian is a branch of Citibank, N.A.) against any liability or expense arising out of information relating to the Depositary or such Custodian, as the case may be, furnished in a signed writing to the Company, executed by the Depositary or such Custodian expressly for use in any registration statement, prospectus or preliminary prospectus relating to any Deposited Securities represented by the ADSs.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obligations set forth in this Section shall survive the termination of the Deposit Agreement and the succession or substitution of any party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3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 ve rise to an indemnity hereunder without the consent of the indemnifying person, which consent shall not be unreasonably withheld.</w:t>
      </w:r>
    </w:p>
    <w:p>
      <w:pPr>
        <w:spacing w:after="0" w:line="21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b w:val="1"/>
          <w:bCs w:val="1"/>
          <w:u w:val="single" w:color="auto"/>
          <w:color w:val="auto"/>
        </w:rPr>
        <w:t>Fees and Charges of 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the Holders, the Beneficial Owners, and persons depositing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surrendering ADSs for cancellation and withdrawal of Deposited Securities shall be required to pay to the Depositary the Depositary’s fees and related charges identified as payable by them respectively in the Fee Schedule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All fees and charges so payable may, at any time an d from time to time, be changed by agreement between the Depositary and the Company, but, in the case of fees and charges payable by Holders and Beneficial Owners, only in the manner contemplated in Section 6.1. The Depositary shall provide, without charge, a copy of its latest fee schedule to anyone upon request.</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48" w:name="page49"/>
    <w:bookmarkEnd w:id="48"/>
    <w:p>
      <w:pPr>
        <w:ind w:firstLine="648"/>
        <w:spacing w:after="0" w:line="268" w:lineRule="auto"/>
        <w:rPr>
          <w:sz w:val="20"/>
          <w:szCs w:val="20"/>
          <w:color w:val="auto"/>
        </w:rPr>
      </w:pPr>
      <w:r>
        <w:rPr>
          <w:rFonts w:ascii="Arial" w:cs="Arial" w:eastAsia="Arial" w:hAnsi="Arial"/>
          <w:sz w:val="17"/>
          <w:szCs w:val="17"/>
          <w:color w:val="auto"/>
        </w:rPr>
        <w:t>Depositary Fees payable upon (i) deposit of Shares against issuance of ADSs and (ii) surrender of ADSs for cancellation and withdrawal of Deposited Securities will be charged by the Depositary to the person to whom the ADSs so issued are delivered (in the case of ADS issuances) and to the person who delivers the ADSs for cancellation to the Depositary (in the case of ADS cancellations). In the case of ADSs issued by the Depositary into DTC or presented to the Depositary via DTC, the ADS issuance and cancellation fees will be payable to the Depositary by the DTC Participant(s) receiving the ADSs from the Depositary or the DTC Participant(s) surrendering the ADSs to the Depositary for cancellation, as the case may be, on behalf of the Beneficial Owner(s) and will be charged by the DTC Participant(s) to the account(s) of the applicable Beneficial Owner(s) in accordance with the procedures and practices of the DTC participant(s) as in effect at the time. Depositary fees in respect of distributions and the Depositary services fee are payable to the Depositary by Holders as of the applicable ADS Record Date established by the Depositary. In the case of distributions of cash, the amount of the applicable Depositary fees is deducted by the Depositary from the funds being distributed. In the case of distributions other than cash and the Depositary service fee, the Depositary will invoice the applicable Holders as of the ADS Record Date established by the Depositary. For ADSs held through DTC, the Depositary fees for distributions other than cash and the Depositary service fee are charged by the Depositary to the DTC Participants in accordance with the procedures and practices prescribed by DTC from time to time and the DTC Participants in turn charge the amount of such fees to the Beneficia l Owners for whom they hold ADSs.</w:t>
      </w:r>
    </w:p>
    <w:p>
      <w:pPr>
        <w:spacing w:after="0" w:line="21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Depositary may remit to the Company all or a portion of the Depositary fees charged for the reimbursement of certain expenses incurred by the Company in respect of the ADR program established pursuant to the Deposit Agreement upon such terms and conditions as the Company and the Depositary may agree from time to time. The Company shall pay to the Depositary such fees and charges and reimburse the Depositary for such out-of-pocket expenses as the Depositary and the Company may agree from time to time. Responsibility for payment of such charges and reimbursements may from time to time be changed by agreement between the Company and the Depositary. Unless otherwise agreed, the Depositary shall present its statement for such expenses and fees or charges to the Company once every three months. The charges and expenses of the Custodian are for the sole account of the Depositary.</w:t>
      </w:r>
    </w:p>
    <w:p>
      <w:pPr>
        <w:spacing w:after="0" w:line="192"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The right of the Depositary to receive payment of fees, charges and expenses as provided above shall survive the termination of the Deposit Agreement. As to any Depositary, upon the resignation or removal of such Depositary as described in Section 5.4, such right shall extend for those fees, charges and expenses incurred prior to the effectiveness of such resignation or removal.</w:t>
      </w:r>
    </w:p>
    <w:p>
      <w:pPr>
        <w:spacing w:after="0" w:line="20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b w:val="1"/>
          <w:bCs w:val="1"/>
          <w:color w:val="auto"/>
        </w:rPr>
        <w:t xml:space="preserve">Section 5.10 </w:t>
      </w:r>
      <w:r>
        <w:rPr>
          <w:rFonts w:ascii="Arial" w:cs="Arial" w:eastAsia="Arial" w:hAnsi="Arial"/>
          <w:sz w:val="17"/>
          <w:szCs w:val="17"/>
          <w:b w:val="1"/>
          <w:bCs w:val="1"/>
          <w:u w:val="single" w:color="auto"/>
          <w:color w:val="auto"/>
        </w:rPr>
        <w:t>Pre-Release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further terms and provisions of this Section 5.10, the Depositary,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and their agents, on their own behalf, may own and deal in any class of securities of the Company and its Affiliates and in ADSs. In its capacity as Depositary, the Depositary shall not lend Shares or ADSs; provided, however, that the Depositary may (i) issue ADSs prior to the receipt of Shares pursuant to Section 2.3 and (ii) deliver Shares prior to the receipt of ADSs for withdrawal of Deposited Securities pursuant to Section 2.7, including ADSs which were issued under (i) above but for which Shares may not have been received (each such transaction a “</w:t>
      </w:r>
      <w:r>
        <w:rPr>
          <w:rFonts w:ascii="Arial" w:cs="Arial" w:eastAsia="Arial" w:hAnsi="Arial"/>
          <w:sz w:val="17"/>
          <w:szCs w:val="17"/>
          <w:u w:val="single" w:color="auto"/>
          <w:color w:val="auto"/>
        </w:rPr>
        <w:t>Pre-Release Transaction</w:t>
      </w:r>
      <w:r>
        <w:rPr>
          <w:rFonts w:ascii="Arial" w:cs="Arial" w:eastAsia="Arial" w:hAnsi="Arial"/>
          <w:sz w:val="17"/>
          <w:szCs w:val="17"/>
          <w:color w:val="auto"/>
        </w:rPr>
        <w:t>”). The Depositary may receive ADSs in lieu of Shares under (i) above and receive Shares in lieu of ADSs under (ii) above. Each such Pre-Release Transaction will be (a) subject to a written agreement whereby the person or entity (the “</w:t>
      </w:r>
      <w:r>
        <w:rPr>
          <w:rFonts w:ascii="Arial" w:cs="Arial" w:eastAsia="Arial" w:hAnsi="Arial"/>
          <w:sz w:val="17"/>
          <w:szCs w:val="17"/>
          <w:u w:val="single" w:color="auto"/>
          <w:color w:val="auto"/>
        </w:rPr>
        <w:t>Applicant</w:t>
      </w:r>
      <w:r>
        <w:rPr>
          <w:rFonts w:ascii="Arial" w:cs="Arial" w:eastAsia="Arial" w:hAnsi="Arial"/>
          <w:sz w:val="17"/>
          <w:szCs w:val="17"/>
          <w:color w:val="auto"/>
        </w:rPr>
        <w:t>”) to whom ADSs or Shares are to be delivered (w) represents that at the time of the Pre-Release Transaction the Applicant or its customer owns the Shares or ADSs that are to be delivered by the Applicant under such Pre-Release Transaction, (x) agrees to indicate the Depositary as owner of such Shares or ADSs in its records and to hold such Shares or ADSs in trust for the Depositar y until such Shares or ADSs are delivered to the Depositary or the Custodian, (y) unconditionally guarantees to deliver to the Depositary or the Custodian, as applicable, such Shares or ADSs, and (z) agrees to any additional restrictions or requirements that the Depositary deems appropriate, (b) at all times fully collateralized with cash, U.S. government securities or such other collateral as the Depositary deems appropriate, (c) terminable by the Depositary on not more than five (5) business days’ notice and (d) subject to such further indemnities and credit regulations as the Depositary deems appropriate. The Depositary will normally limit the number of ADSs and Shares involved in such Pre-Release Transactions at any one time to thirty percent (30%) of the ADSs outstanding (without giving effect to ADSs outstanding under (i) above), provided, however, that the Depositary reserves the right to change or disregard such limit from time to time as it deems appropriate.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9" w:name="page50"/>
    <w:bookmarkEnd w:id="49"/>
    <w:p>
      <w:pPr>
        <w:ind w:right="220" w:firstLine="648"/>
        <w:spacing w:after="0" w:line="312" w:lineRule="auto"/>
        <w:rPr>
          <w:sz w:val="20"/>
          <w:szCs w:val="20"/>
          <w:color w:val="auto"/>
        </w:rPr>
      </w:pPr>
      <w:r>
        <w:rPr>
          <w:rFonts w:ascii="Arial" w:cs="Arial" w:eastAsia="Arial" w:hAnsi="Arial"/>
          <w:sz w:val="16"/>
          <w:szCs w:val="16"/>
          <w:color w:val="auto"/>
        </w:rPr>
        <w:t>The Depositary may also set limits with respect to the number of ADSs and Shares involved in Pre-Release Transactions with any one person on a case-by-case basis as it deems appropriate. The Depositary may retain for its own account any compensation received by it in conjunction with the foregoing. Collateral provided pursuant to (b) above, but not the earnings thereon, shall be held for the benefit of the Holders (other than the Applicant).</w:t>
      </w:r>
    </w:p>
    <w:p>
      <w:pPr>
        <w:spacing w:after="0" w:line="170"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b w:val="1"/>
          <w:bCs w:val="1"/>
          <w:u w:val="single" w:color="auto"/>
          <w:color w:val="auto"/>
        </w:rPr>
        <w:t>Restricted Securities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advise in writing each of the persons or entities who, to the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 ed in Section 2.14).</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200" w:type="dxa"/>
            <w:vAlign w:val="bottom"/>
          </w:tcPr>
          <w:p>
            <w:pPr>
              <w:jc w:val="center"/>
              <w:ind w:right="3490"/>
              <w:spacing w:after="0"/>
              <w:rPr>
                <w:sz w:val="20"/>
                <w:szCs w:val="20"/>
                <w:color w:val="auto"/>
              </w:rPr>
            </w:pPr>
            <w:r>
              <w:rPr>
                <w:rFonts w:ascii="Arial" w:cs="Arial" w:eastAsia="Arial" w:hAnsi="Arial"/>
                <w:sz w:val="18"/>
                <w:szCs w:val="18"/>
                <w:b w:val="1"/>
                <w:bCs w:val="1"/>
                <w:color w:val="auto"/>
              </w:rPr>
              <w:t>ARTICLE VI</w:t>
            </w:r>
          </w:p>
        </w:tc>
      </w:tr>
      <w:tr>
        <w:trPr>
          <w:trHeight w:val="459"/>
        </w:trPr>
        <w:tc>
          <w:tcPr>
            <w:tcW w:w="1820" w:type="dxa"/>
            <w:vAlign w:val="bottom"/>
          </w:tcPr>
          <w:p>
            <w:pPr>
              <w:spacing w:after="0"/>
              <w:rPr>
                <w:sz w:val="24"/>
                <w:szCs w:val="24"/>
                <w:color w:val="auto"/>
              </w:rPr>
            </w:pPr>
          </w:p>
        </w:tc>
        <w:tc>
          <w:tcPr>
            <w:tcW w:w="8120" w:type="dxa"/>
            <w:vAlign w:val="bottom"/>
            <w:gridSpan w:val="2"/>
          </w:tcPr>
          <w:p>
            <w:pPr>
              <w:jc w:val="center"/>
              <w:ind w:right="1570"/>
              <w:spacing w:after="0"/>
              <w:rPr>
                <w:sz w:val="20"/>
                <w:szCs w:val="20"/>
                <w:color w:val="auto"/>
              </w:rPr>
            </w:pPr>
            <w:r>
              <w:rPr>
                <w:rFonts w:ascii="Arial" w:cs="Arial" w:eastAsia="Arial" w:hAnsi="Arial"/>
                <w:sz w:val="18"/>
                <w:szCs w:val="18"/>
                <w:b w:val="1"/>
                <w:bCs w:val="1"/>
                <w:color w:val="auto"/>
              </w:rPr>
              <w:t>AMENDMENT AND TERMINATION</w:t>
            </w:r>
          </w:p>
        </w:tc>
      </w:tr>
      <w:tr>
        <w:trPr>
          <w:trHeight w:val="419"/>
        </w:trPr>
        <w:tc>
          <w:tcPr>
            <w:tcW w:w="1820" w:type="dxa"/>
            <w:vAlign w:val="bottom"/>
          </w:tcPr>
          <w:p>
            <w:pPr>
              <w:spacing w:after="0"/>
              <w:rPr>
                <w:sz w:val="20"/>
                <w:szCs w:val="20"/>
                <w:color w:val="auto"/>
              </w:rPr>
            </w:pPr>
            <w:r>
              <w:rPr>
                <w:rFonts w:ascii="Arial" w:cs="Arial" w:eastAsia="Arial" w:hAnsi="Arial"/>
                <w:sz w:val="18"/>
                <w:szCs w:val="18"/>
                <w:b w:val="1"/>
                <w:bCs w:val="1"/>
                <w:color w:val="auto"/>
              </w:rPr>
              <w:t>Section 6.1</w:t>
            </w: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w w:val="90"/>
              </w:rPr>
              <w:t xml:space="preserve">Amendment/Supplement. </w:t>
            </w:r>
            <w:r>
              <w:rPr>
                <w:rFonts w:ascii="Arial" w:cs="Arial" w:eastAsia="Arial" w:hAnsi="Arial"/>
                <w:sz w:val="18"/>
                <w:szCs w:val="18"/>
                <w:color w:val="auto"/>
                <w:w w:val="90"/>
              </w:rPr>
              <w:t>Subject to the terms and conditions of this Section 6.1 and applicable law, the ADRs</w:t>
            </w:r>
          </w:p>
        </w:tc>
      </w:tr>
      <w:tr>
        <w:trPr>
          <w:trHeight w:val="20"/>
        </w:trPr>
        <w:tc>
          <w:tcPr>
            <w:tcW w:w="18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outstanding at 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 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 s identifies a means for Holders and Beneficial Owners to retrieve or receive the text of such amendment (</w:t>
      </w:r>
      <w:r>
        <w:rPr>
          <w:rFonts w:ascii="Arial" w:cs="Arial" w:eastAsia="Arial" w:hAnsi="Arial"/>
          <w:sz w:val="16"/>
          <w:szCs w:val="16"/>
          <w:i w:val="1"/>
          <w:iCs w:val="1"/>
          <w:color w:val="auto"/>
        </w:rPr>
        <w:t>i.e.</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 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ind w:firstLine="648"/>
        <w:spacing w:after="0" w:line="271" w:lineRule="auto"/>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at any time at the written direction of the Company, terminate the Deposit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by distributing 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 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20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securities and other property received in respect of Deposited Securities, (iii) deliver Deposited Securities, together with any dividends or other distributions received with respect thereto and the net proceeds of the sale of any securities or other property, in exchange for ADSs surrendered to the Depositary (after deducting, or charging, as the case may be, in each case, the fees and charges of, and expenses incu 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51" w:name="page52"/>
    <w:bookmarkEnd w:id="51"/>
    <w:p>
      <w:pPr>
        <w:ind w:firstLine="648"/>
        <w:spacing w:after="0" w:line="269" w:lineRule="auto"/>
        <w:rPr>
          <w:sz w:val="20"/>
          <w:szCs w:val="20"/>
          <w:color w:val="auto"/>
        </w:rPr>
      </w:pPr>
      <w:r>
        <w:rPr>
          <w:rFonts w:ascii="Arial" w:cs="Arial" w:eastAsia="Arial" w:hAnsi="Arial"/>
          <w:sz w:val="17"/>
          <w:szCs w:val="17"/>
          <w:color w:val="auto"/>
        </w:rPr>
        <w:t>At any time after the Termination Date, the Depositary may sell the Deposited Securities then held under the Deposit Agreement and shall after such sale hold un-invested the net proceeds of such sale, together with any other cash then held by it under the Deposit Agreement, in an un-segregated account and without liability for interest, for the pro -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 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52"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Deposit Agreement may be executed in any number of counterparts, each of which shall be deemed an</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original and all of such counterparts together shall constitute one and the same agreement. Copies of the Deposit Agreement shall be maintained with the Depositary and shall be open to inspection by any Holder during business hours.</w:t>
      </w:r>
    </w:p>
    <w:p>
      <w:pPr>
        <w:spacing w:after="0" w:line="20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No Third-Party Beneficiaries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the Depositary and its Affiliates may at any time have multiple banking relationships with the Company and its Affiliates, (ii) the Depositary and its Affiliates may be engaged at any time in transactions in which parties adverse to the Company or the Holders or Beneficial Owners may have interests and (iii) nothing contained in the Deposit Agreement shall</w:t>
      </w:r>
    </w:p>
    <w:p>
      <w:pPr>
        <w:spacing w:after="0" w:line="4" w:lineRule="exact"/>
        <w:rPr>
          <w:sz w:val="20"/>
          <w:szCs w:val="20"/>
          <w:color w:val="auto"/>
        </w:rPr>
      </w:pPr>
    </w:p>
    <w:p>
      <w:pPr>
        <w:ind w:right="100" w:firstLine="8"/>
        <w:spacing w:after="0" w:line="255"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preclude the Depositary or any of its Affiliates from engaging in such transactions or establishing or maintaining such relationships, and (b) obligate the Depositary or any of its Affiliates to disclose such transactions or relationships or to account for any profit made or payment received in such transactions or relationships.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52" w:name="page53"/>
    <w:bookmarkEnd w:id="52"/>
    <w:p>
      <w:pPr>
        <w:ind w:firstLine="648"/>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Deposit Agreement or in the ADRs should be or</w:t>
      </w:r>
      <w:r>
        <w:rPr>
          <w:rFonts w:ascii="Arial" w:cs="Arial" w:eastAsia="Arial" w:hAnsi="Arial"/>
          <w:sz w:val="18"/>
          <w:szCs w:val="18"/>
          <w:b w:val="1"/>
          <w:bCs w:val="1"/>
          <w:color w:val="auto"/>
        </w:rPr>
        <w:t xml:space="preserve"> </w:t>
      </w:r>
      <w:r>
        <w:rPr>
          <w:rFonts w:ascii="Arial" w:cs="Arial" w:eastAsia="Arial" w:hAnsi="Arial"/>
          <w:sz w:val="18"/>
          <w:szCs w:val="18"/>
          <w:color w:val="auto"/>
        </w:rPr>
        <w:t>become invalid, illegal or unenforceable in any respect, the validity, legality and enforceability of the remaining provisions contained herein or therein shall in no way be affected, prejudiced or disturbed thereby.</w:t>
      </w:r>
    </w:p>
    <w:p>
      <w:pPr>
        <w:spacing w:after="0" w:line="203"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7.4</w:t>
      </w:r>
      <w:r>
        <w:rPr>
          <w:sz w:val="20"/>
          <w:szCs w:val="20"/>
          <w:color w:val="auto"/>
        </w:rPr>
        <w:tab/>
      </w:r>
      <w:r>
        <w:rPr>
          <w:rFonts w:ascii="Arial" w:cs="Arial" w:eastAsia="Arial" w:hAnsi="Arial"/>
          <w:sz w:val="16"/>
          <w:szCs w:val="16"/>
          <w:b w:val="1"/>
          <w:bCs w:val="1"/>
          <w:u w:val="single" w:color="auto"/>
          <w:color w:val="auto"/>
        </w:rPr>
        <w:t>Holders and Beneficial Owners as Parties; Binding Effect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Holders and Beneficial Owners from time to time of</w:t>
      </w:r>
    </w:p>
    <w:p>
      <w:pPr>
        <w:spacing w:after="0" w:line="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ADSs issued hereunder shall be parties to the Deposit Agreement and shall be bound by all of the terms and conditions hereof and of any ADR evidencing their ADSs by acceptance thereof or any beneficial interest therein.</w:t>
      </w:r>
    </w:p>
    <w:p>
      <w:pPr>
        <w:spacing w:after="0" w:line="207" w:lineRule="exact"/>
        <w:rPr>
          <w:sz w:val="20"/>
          <w:szCs w:val="20"/>
          <w:color w:val="auto"/>
        </w:rPr>
      </w:pPr>
    </w:p>
    <w:p>
      <w:pPr>
        <w:ind w:right="180" w:firstLine="648"/>
        <w:spacing w:after="0" w:line="248" w:lineRule="auto"/>
        <w:rPr>
          <w:sz w:val="20"/>
          <w:szCs w:val="20"/>
          <w:color w:val="auto"/>
        </w:rPr>
      </w:pPr>
      <w:r>
        <w:rPr>
          <w:rFonts w:ascii="Arial" w:cs="Arial" w:eastAsia="Arial" w:hAnsi="Arial"/>
          <w:sz w:val="17"/>
          <w:szCs w:val="17"/>
          <w:b w:val="1"/>
          <w:bCs w:val="1"/>
          <w:color w:val="auto"/>
        </w:rPr>
        <w:t xml:space="preserve">Section 7.5 </w:t>
      </w: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and all notices to be given to the Company shall be deemed to have been duly given if personally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or sent by mail, air courier or cable, telex or facsimile transmission, confirmed by letter personally delivered or sent by mail or air courier, addressed to 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Times Finance Center, No. 68 Middle Yincheng Road, Pudong, Shanghai 200120, People's Republic of China, attention: Chief Financial Officer (facsimile number: + 86 21 3860 2300) or to any other address which the Company may specify in writing to the Depositary.</w:t>
      </w:r>
    </w:p>
    <w:p>
      <w:pPr>
        <w:spacing w:after="0" w:line="2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18"/>
          <w:szCs w:val="18"/>
          <w:u w:val="single" w:color="auto"/>
          <w:color w:val="auto"/>
        </w:rPr>
        <w:t>Attention</w:t>
      </w:r>
      <w:r>
        <w:rPr>
          <w:rFonts w:ascii="Arial" w:cs="Arial" w:eastAsia="Arial" w:hAnsi="Arial"/>
          <w:sz w:val="18"/>
          <w:szCs w:val="18"/>
          <w:color w:val="auto"/>
        </w:rPr>
        <w:t>: Depositary Receipts Department (facsimile number: 212-816-6865), or to any other address which the Depositary may specify in writing to the Company.</w:t>
      </w:r>
    </w:p>
    <w:p>
      <w:pPr>
        <w:spacing w:after="0" w:line="21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Any and all notices to be given to any Holder shall be deemed to have been duly given if (a)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53" w:name="page54"/>
    <w:bookmarkEnd w:id="53"/>
    <w:p>
      <w:pPr>
        <w:ind w:firstLine="648"/>
        <w:spacing w:after="0" w:line="276" w:lineRule="auto"/>
        <w:rPr>
          <w:sz w:val="20"/>
          <w:szCs w:val="20"/>
          <w:color w:val="auto"/>
        </w:rPr>
      </w:pPr>
      <w:r>
        <w:rPr>
          <w:rFonts w:ascii="Arial" w:cs="Arial" w:eastAsia="Arial" w:hAnsi="Arial"/>
          <w:sz w:val="17"/>
          <w:szCs w:val="17"/>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20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210"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and the ADRs shall be interpreted in accordance with,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rights hereunder and thereunder and provisions hereof and thereof shall be governed by, the laws of the State of New York without reference to the principles of choice of law thereof. Notwithstanding anything contained in the Deposit Agreement, any ADR or any present or future provisions of the laws of the State of New York, the rights of holders of Shares and of any ot 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219"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Law Debenture Corporate Services Inc. (the “</w:t>
      </w:r>
      <w:r>
        <w:rPr>
          <w:rFonts w:ascii="Arial" w:cs="Arial" w:eastAsia="Arial" w:hAnsi="Arial"/>
          <w:sz w:val="16"/>
          <w:szCs w:val="16"/>
          <w:u w:val="single" w:color="auto"/>
          <w:color w:val="auto"/>
        </w:rPr>
        <w:t>Agent</w:t>
      </w:r>
      <w:r>
        <w:rPr>
          <w:rFonts w:ascii="Arial" w:cs="Arial" w:eastAsia="Arial" w:hAnsi="Arial"/>
          <w:sz w:val="16"/>
          <w:szCs w:val="16"/>
          <w:color w:val="auto"/>
        </w:rPr>
        <w:t>”) now at 400 Madison Avenue,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New York, New York 10017, as its authorized agent to receive and accept f 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 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4" w:name="page55"/>
    <w:bookmarkEnd w:id="54"/>
    <w:p>
      <w:pPr>
        <w:ind w:firstLine="648"/>
        <w:spacing w:after="0" w:line="254" w:lineRule="auto"/>
        <w:rPr>
          <w:sz w:val="20"/>
          <w:szCs w:val="20"/>
          <w:color w:val="auto"/>
        </w:rPr>
      </w:pPr>
      <w:r>
        <w:rPr>
          <w:rFonts w:ascii="Arial" w:cs="Arial" w:eastAsia="Arial" w:hAnsi="Arial"/>
          <w:sz w:val="18"/>
          <w:szCs w:val="18"/>
          <w:color w:val="auto"/>
        </w:rPr>
        <w:t>Notwithstanding the foregoing, the Depositary and the Company unconditionally agree that in the event that a Holder or Beneficial Owner brings a suit, action or proceeding against (a) 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 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21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21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Securities.</w:t>
      </w:r>
    </w:p>
    <w:p>
      <w:pPr>
        <w:spacing w:after="0" w:line="18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 disclaimer of liability under the Securities Act is intended by any provision of the Deposit Agreement. The provisions of this Section 7.6 shall survive any termination of the Deposit Agreement, in whole or in part.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ind w:left="660"/>
              <w:spacing w:after="0"/>
              <w:rPr>
                <w:sz w:val="20"/>
                <w:szCs w:val="20"/>
                <w:color w:val="auto"/>
              </w:rPr>
            </w:pPr>
            <w:r>
              <w:rPr>
                <w:rFonts w:ascii="Arial" w:cs="Arial" w:eastAsia="Arial" w:hAnsi="Arial"/>
                <w:sz w:val="18"/>
                <w:szCs w:val="18"/>
                <w:b w:val="1"/>
                <w:bCs w:val="1"/>
                <w:color w:val="auto"/>
              </w:rPr>
              <w:t>Section 7.7</w:t>
            </w:r>
          </w:p>
        </w:tc>
        <w:tc>
          <w:tcPr>
            <w:tcW w:w="8820" w:type="dxa"/>
            <w:vAlign w:val="bottom"/>
            <w:gridSpan w:val="3"/>
          </w:tcPr>
          <w:p>
            <w:pPr>
              <w:spacing w:after="0"/>
              <w:rPr>
                <w:sz w:val="20"/>
                <w:szCs w:val="20"/>
                <w:color w:val="auto"/>
              </w:rPr>
            </w:pPr>
            <w:r>
              <w:rPr>
                <w:rFonts w:ascii="Arial" w:cs="Arial" w:eastAsia="Arial" w:hAnsi="Arial"/>
                <w:sz w:val="18"/>
                <w:szCs w:val="18"/>
                <w:b w:val="1"/>
                <w:bCs w:val="1"/>
                <w:color w:val="auto"/>
                <w:w w:val="90"/>
              </w:rPr>
              <w:t xml:space="preserve">Assignment. </w:t>
            </w:r>
            <w:r>
              <w:rPr>
                <w:rFonts w:ascii="Arial" w:cs="Arial" w:eastAsia="Arial" w:hAnsi="Arial"/>
                <w:sz w:val="18"/>
                <w:szCs w:val="18"/>
                <w:color w:val="auto"/>
                <w:w w:val="90"/>
              </w:rPr>
              <w:t>Subject to the provisions of Section 5.4, the Deposit Agreement may not be assigned by either the Company</w:t>
            </w:r>
          </w:p>
        </w:tc>
      </w:tr>
      <w:tr>
        <w:trPr>
          <w:trHeight w:val="237"/>
        </w:trPr>
        <w:tc>
          <w:tcPr>
            <w:tcW w:w="2480" w:type="dxa"/>
            <w:vAlign w:val="bottom"/>
          </w:tcPr>
          <w:p>
            <w:pPr>
              <w:spacing w:after="0"/>
              <w:rPr>
                <w:sz w:val="20"/>
                <w:szCs w:val="20"/>
                <w:color w:val="auto"/>
              </w:rPr>
            </w:pPr>
            <w:r>
              <w:rPr>
                <w:rFonts w:ascii="Arial" w:cs="Arial" w:eastAsia="Arial" w:hAnsi="Arial"/>
                <w:sz w:val="18"/>
                <w:szCs w:val="18"/>
                <w:color w:val="auto"/>
              </w:rPr>
              <w:t>or the Depositary.</w:t>
            </w:r>
          </w:p>
        </w:tc>
        <w:tc>
          <w:tcPr>
            <w:tcW w:w="900" w:type="dxa"/>
            <w:vAlign w:val="bottom"/>
            <w:tcBorders>
              <w:top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419"/>
        </w:trPr>
        <w:tc>
          <w:tcPr>
            <w:tcW w:w="2480" w:type="dxa"/>
            <w:vAlign w:val="bottom"/>
          </w:tcPr>
          <w:p>
            <w:pPr>
              <w:ind w:left="660"/>
              <w:spacing w:after="0"/>
              <w:rPr>
                <w:sz w:val="20"/>
                <w:szCs w:val="20"/>
                <w:color w:val="auto"/>
              </w:rPr>
            </w:pPr>
            <w:r>
              <w:rPr>
                <w:rFonts w:ascii="Arial" w:cs="Arial" w:eastAsia="Arial" w:hAnsi="Arial"/>
                <w:sz w:val="18"/>
                <w:szCs w:val="18"/>
                <w:b w:val="1"/>
                <w:bCs w:val="1"/>
                <w:color w:val="auto"/>
              </w:rPr>
              <w:t>Section 7.8</w:t>
            </w:r>
          </w:p>
        </w:tc>
        <w:tc>
          <w:tcPr>
            <w:tcW w:w="8820" w:type="dxa"/>
            <w:vAlign w:val="bottom"/>
            <w:gridSpan w:val="3"/>
          </w:tcPr>
          <w:p>
            <w:pPr>
              <w:spacing w:after="0"/>
              <w:rPr>
                <w:sz w:val="20"/>
                <w:szCs w:val="20"/>
                <w:color w:val="auto"/>
              </w:rPr>
            </w:pPr>
            <w:r>
              <w:rPr>
                <w:rFonts w:ascii="Arial" w:cs="Arial" w:eastAsia="Arial" w:hAnsi="Arial"/>
                <w:sz w:val="18"/>
                <w:szCs w:val="18"/>
                <w:b w:val="1"/>
                <w:bCs w:val="1"/>
                <w:color w:val="auto"/>
                <w:w w:val="97"/>
              </w:rPr>
              <w:t xml:space="preserve">Compliance with U.S. Securities Laws. </w:t>
            </w:r>
            <w:r>
              <w:rPr>
                <w:rFonts w:ascii="Arial" w:cs="Arial" w:eastAsia="Arial" w:hAnsi="Arial"/>
                <w:sz w:val="18"/>
                <w:szCs w:val="18"/>
                <w:color w:val="auto"/>
                <w:w w:val="97"/>
              </w:rPr>
              <w:t>Notwithstanding anything in the Deposit Agreement to the contrary, the</w:t>
            </w:r>
          </w:p>
        </w:tc>
      </w:tr>
      <w:tr>
        <w:trPr>
          <w:trHeight w:val="20"/>
        </w:trPr>
        <w:tc>
          <w:tcPr>
            <w:tcW w:w="2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bl>
    <w:p>
      <w:pPr>
        <w:spacing w:after="0" w:line="1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p>
      <w:pPr>
        <w:ind w:right="20" w:firstLine="648"/>
        <w:spacing w:after="0" w:line="274" w:lineRule="auto"/>
        <w:rPr>
          <w:sz w:val="20"/>
          <w:szCs w:val="20"/>
          <w:color w:val="auto"/>
        </w:rPr>
      </w:pPr>
      <w:r>
        <w:rPr>
          <w:rFonts w:ascii="Arial" w:cs="Arial" w:eastAsia="Arial" w:hAnsi="Arial"/>
          <w:sz w:val="17"/>
          <w:szCs w:val="17"/>
          <w:b w:val="1"/>
          <w:bCs w:val="1"/>
          <w:color w:val="auto"/>
        </w:rPr>
        <w:t xml:space="preserve">Section 7.9 </w:t>
      </w:r>
      <w:r>
        <w:rPr>
          <w:rFonts w:ascii="Arial" w:cs="Arial" w:eastAsia="Arial" w:hAnsi="Arial"/>
          <w:sz w:val="17"/>
          <w:szCs w:val="17"/>
          <w:b w:val="1"/>
          <w:bCs w:val="1"/>
          <w:u w:val="single" w:color="auto"/>
          <w:color w:val="auto"/>
        </w:rPr>
        <w:t>Cayman Islands Law References</w:t>
      </w:r>
      <w:r>
        <w:rPr>
          <w:rFonts w:ascii="Arial" w:cs="Arial" w:eastAsia="Arial" w:hAnsi="Arial"/>
          <w:sz w:val="17"/>
          <w:szCs w:val="17"/>
          <w:b w:val="1"/>
          <w:bCs w:val="1"/>
          <w:color w:val="auto"/>
        </w:rPr>
        <w:t xml:space="preserve">. </w:t>
      </w:r>
      <w:r>
        <w:rPr>
          <w:rFonts w:ascii="Arial" w:cs="Arial" w:eastAsia="Arial" w:hAnsi="Arial"/>
          <w:sz w:val="17"/>
          <w:szCs w:val="17"/>
          <w:color w:val="auto"/>
        </w:rPr>
        <w:t>Any summary of the laws and regulations of the Cayman Islands and of the terms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Articles 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 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201" w:lineRule="exact"/>
        <w:rPr>
          <w:sz w:val="20"/>
          <w:szCs w:val="20"/>
          <w:color w:val="auto"/>
        </w:rPr>
      </w:pPr>
    </w:p>
    <w:p>
      <w:pPr>
        <w:ind w:left="660"/>
        <w:spacing w:after="0"/>
        <w:tabs>
          <w:tab w:leader="none" w:pos="254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6"/>
          <w:szCs w:val="16"/>
          <w:b w:val="1"/>
          <w:bCs w:val="1"/>
          <w:u w:val="single" w:color="auto"/>
          <w:color w:val="auto"/>
        </w:rPr>
        <w:t>Titles and References</w:t>
      </w:r>
      <w:r>
        <w:rPr>
          <w:rFonts w:ascii="Arial" w:cs="Arial" w:eastAsia="Arial" w:hAnsi="Arial"/>
          <w:sz w:val="16"/>
          <w:szCs w:val="16"/>
          <w:b w:val="1"/>
          <w:bCs w:val="1"/>
          <w:color w:val="auto"/>
        </w:rPr>
        <w:t>.</w:t>
      </w:r>
    </w:p>
    <w:p>
      <w:pPr>
        <w:spacing w:after="0" w:line="252" w:lineRule="exact"/>
        <w:rPr>
          <w:sz w:val="20"/>
          <w:szCs w:val="20"/>
          <w:color w:val="auto"/>
        </w:rPr>
      </w:pPr>
    </w:p>
    <w:p>
      <w:pPr>
        <w:ind w:firstLine="656"/>
        <w:spacing w:after="0" w:line="254" w:lineRule="auto"/>
        <w:tabs>
          <w:tab w:leader="none" w:pos="1353"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Deposit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All references in the Deposit Agreement to exhibits, articles, sections, subsections, and other subdivisions refer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ADRs, ADSs or Deposited Securities as in effect at the relevant time of determination, unless otherwise required by law or regulation.</w:t>
      </w:r>
    </w:p>
    <w:p>
      <w:pPr>
        <w:spacing w:after="0" w:line="216" w:lineRule="exact"/>
        <w:rPr>
          <w:rFonts w:ascii="Arial" w:cs="Arial" w:eastAsia="Arial" w:hAnsi="Arial"/>
          <w:sz w:val="18"/>
          <w:szCs w:val="18"/>
          <w:b w:val="1"/>
          <w:bCs w:val="1"/>
          <w:color w:val="auto"/>
        </w:rPr>
      </w:pPr>
    </w:p>
    <w:p>
      <w:pPr>
        <w:ind w:right="40" w:firstLine="656"/>
        <w:spacing w:after="0" w:line="272" w:lineRule="auto"/>
        <w:tabs>
          <w:tab w:leader="none" w:pos="1363"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ADRs</w:t>
      </w:r>
      <w:r>
        <w:rPr>
          <w:rFonts w:ascii="Arial" w:cs="Arial" w:eastAsia="Arial" w:hAnsi="Arial"/>
          <w:sz w:val="17"/>
          <w:szCs w:val="17"/>
          <w:b w:val="1"/>
          <w:bCs w:val="1"/>
          <w:color w:val="auto"/>
        </w:rPr>
        <w:t xml:space="preserve">. </w:t>
      </w:r>
      <w:r>
        <w:rPr>
          <w:rFonts w:ascii="Arial" w:cs="Arial" w:eastAsia="Arial" w:hAnsi="Arial"/>
          <w:sz w:val="17"/>
          <w:szCs w:val="17"/>
          <w:color w:val="auto"/>
        </w:rPr>
        <w:t>All references in any ADR(s) to paragraphs, exhibits, articles, sections, subsections, and other subdivisions refer to the paragraphs,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 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7"/>
          <w:szCs w:val="17"/>
          <w:i w:val="1"/>
          <w:iCs w:val="1"/>
          <w:color w:val="auto"/>
        </w:rPr>
        <w:t>vice versa</w:t>
      </w:r>
      <w:r>
        <w:rPr>
          <w:rFonts w:ascii="Arial" w:cs="Arial" w:eastAsia="Arial" w:hAnsi="Arial"/>
          <w:sz w:val="17"/>
          <w:szCs w:val="17"/>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ADRs, ADSs or Deposited Securities as in effect at the relevant time of determination, unless otherwise required by law or regulation.</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6" w:name="page57"/>
    <w:bookmarkEnd w:id="56"/>
    <w:p>
      <w:pPr>
        <w:jc w:val="both"/>
        <w:ind w:firstLine="648"/>
        <w:spacing w:after="0" w:line="264" w:lineRule="auto"/>
        <w:rPr>
          <w:sz w:val="20"/>
          <w:szCs w:val="20"/>
          <w:color w:val="auto"/>
        </w:rPr>
      </w:pPr>
      <w:r>
        <w:rPr>
          <w:rFonts w:ascii="Arial" w:cs="Arial" w:eastAsia="Arial" w:hAnsi="Arial"/>
          <w:sz w:val="18"/>
          <w:szCs w:val="18"/>
          <w:color w:val="auto"/>
        </w:rPr>
        <w:t>IN WITNESS WHEREOF, NOAH HOLDINGS LIMITED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2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NOAH HOLDINGS LIMITED</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Jingbo Wang</w:t>
      </w:r>
    </w:p>
    <w:p>
      <w:pPr>
        <w:spacing w:after="0" w:line="9" w:lineRule="exact"/>
        <w:rPr>
          <w:sz w:val="20"/>
          <w:szCs w:val="20"/>
          <w:color w:val="auto"/>
        </w:rPr>
      </w:pPr>
    </w:p>
    <w:p>
      <w:pPr>
        <w:ind w:left="4220"/>
        <w:spacing w:after="0"/>
        <w:tabs>
          <w:tab w:leader="none" w:pos="47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CITIBANK, N.A.</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_________________</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ADR]</w:t>
      </w:r>
    </w:p>
    <w:p>
      <w:pPr>
        <w:spacing w:after="0" w:line="256" w:lineRule="exact"/>
        <w:rPr>
          <w:sz w:val="20"/>
          <w:szCs w:val="20"/>
          <w:color w:val="auto"/>
        </w:rPr>
      </w:pPr>
    </w:p>
    <w:p>
      <w:pPr>
        <w:spacing w:after="0"/>
        <w:tabs>
          <w:tab w:leader="none" w:pos="9700" w:val="left"/>
        </w:tabs>
        <w:rPr>
          <w:sz w:val="20"/>
          <w:szCs w:val="20"/>
          <w:color w:val="auto"/>
        </w:rPr>
      </w:pPr>
      <w:r>
        <w:rPr>
          <w:rFonts w:ascii="Arial" w:cs="Arial" w:eastAsia="Arial" w:hAnsi="Arial"/>
          <w:sz w:val="18"/>
          <w:szCs w:val="18"/>
          <w:color w:val="auto"/>
        </w:rPr>
        <w:t>Number: _____________</w:t>
      </w:r>
      <w:r>
        <w:rPr>
          <w:sz w:val="20"/>
          <w:szCs w:val="20"/>
          <w:color w:val="auto"/>
        </w:rPr>
        <w:tab/>
      </w:r>
      <w:r>
        <w:rPr>
          <w:rFonts w:ascii="Arial" w:cs="Arial" w:eastAsia="Arial" w:hAnsi="Arial"/>
          <w:sz w:val="17"/>
          <w:szCs w:val="17"/>
          <w:color w:val="auto"/>
        </w:rPr>
        <w:t>CUSIP NUMBER:</w:t>
      </w:r>
    </w:p>
    <w:p>
      <w:pPr>
        <w:spacing w:after="0" w:line="225"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American Depositary Shares (each two (2)</w:t>
      </w:r>
    </w:p>
    <w:p>
      <w:pPr>
        <w:spacing w:after="0" w:line="46"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American Depositary Shares representing</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the right to receive one (1) ordinary share,</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of Noah Holdings Limited)</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AMERICAN DEPOSITARY RECEIPT</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AMERICAN DEPOSITARY SHARES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representing</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DEPOSITED ORDINARY SHARES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NOAH HOLDINGS LIMITED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(Incorporated under the laws of the Cayman Islands)</w:t>
      </w:r>
    </w:p>
    <w:p>
      <w:pPr>
        <w:spacing w:after="0" w:line="252" w:lineRule="exact"/>
        <w:rPr>
          <w:sz w:val="20"/>
          <w:szCs w:val="20"/>
          <w:color w:val="auto"/>
        </w:rPr>
      </w:pPr>
    </w:p>
    <w:p>
      <w:pPr>
        <w:ind w:right="640" w:firstLine="648"/>
        <w:spacing w:after="0" w:line="291" w:lineRule="auto"/>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ind w:right="100"/>
        <w:spacing w:after="0" w:line="292" w:lineRule="auto"/>
        <w:rPr>
          <w:sz w:val="20"/>
          <w:szCs w:val="20"/>
          <w:color w:val="auto"/>
        </w:rPr>
      </w:pPr>
      <w:r>
        <w:rPr>
          <w:rFonts w:ascii="Arial" w:cs="Arial" w:eastAsia="Arial" w:hAnsi="Arial"/>
          <w:sz w:val="16"/>
          <w:szCs w:val="16"/>
          <w:color w:val="auto"/>
        </w:rPr>
        <w:t>deposited ordinary shares, including evidence of rights to receive such ordinary shares (the “Shares”), of Noah Holdings Limited, a company incorporated under the laws of the Cayman Islands (the “Company”). As of the date of the Deposit Agreement (as hereinafter defined), each two (2) ADSs represents the right to receive one (1) Ordinary Share deposited under the Deposit Agreement with the Custodian, which at the date of execution of the Deposit Agreement is Citibank, N.A. – Hong Kong (the “Cus todian”). The ADS(s)-to-Share(s) ratio is subject to amendment as provided in Articles IV and VI of the Deposit Agreement. The Depositary’s Principal Office is located at 388 Greenwich Street, New York, New York 10013, U.S.A.</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58" w:name="page59"/>
    <w:bookmarkEnd w:id="58"/>
    <w:p>
      <w:pPr>
        <w:ind w:firstLine="656"/>
        <w:spacing w:after="0" w:line="287" w:lineRule="auto"/>
        <w:tabs>
          <w:tab w:leader="none" w:pos="1353"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The 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American Depositary Receipt is one of an issue of American Depositary Receipts (“ADRs”), all issued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be issued upon the terms and conditions set forth in the Deposit Agreement, dated as of </w:t>
      </w:r>
      <w:r>
        <w:rPr>
          <w:rFonts w:ascii="Arial" w:cs="Arial" w:eastAsia="Arial" w:hAnsi="Arial"/>
          <w:sz w:val="16"/>
          <w:szCs w:val="16"/>
          <w:b w:val="1"/>
          <w:bCs w:val="1"/>
          <w:color w:val="auto"/>
        </w:rPr>
        <w:t>[DATE]</w:t>
      </w:r>
      <w:r>
        <w:rPr>
          <w:rFonts w:ascii="Arial" w:cs="Arial" w:eastAsia="Arial" w:hAnsi="Arial"/>
          <w:sz w:val="16"/>
          <w:szCs w:val="16"/>
          <w:color w:val="auto"/>
        </w:rPr>
        <w:t>, 2010 (as amended and supplemented from time to time, the “Deposit Agreement”), by and among the Company, the Depositary, and all Holders and Beneficial Owners from time to time of ADSs issued thereunder. The Deposit Agree ment sets forth the rights and obligations of Holders and Beneficial Owners of ADSs and the rights and duties of the Depositary in respect of the Shares deposited thereunder and any and all other securities, property and cash from time to time received in respect of such Shares and held thereunder (such Shares, securities, property and cash are herein called “Deposited Securities”).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applicable ADR(s), and (b) appoint the Depositary its attorney-in-fact, with full power to delegate, to act on its behalf and to take any and all actions contemplated in the Deposit Agreement and the applicable ADR(s) ,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20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 All capitalized terms used herein which are not otherwise defined herein shall have the meanings ascribed thereto in the Deposit Agreement. The Depositary makes no representation or warranty as to the validity or worth of the Deposited Securities.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201" w:lineRule="exact"/>
        <w:rPr>
          <w:sz w:val="20"/>
          <w:szCs w:val="20"/>
          <w:color w:val="auto"/>
        </w:rPr>
      </w:pPr>
    </w:p>
    <w:p>
      <w:pPr>
        <w:ind w:right="20" w:firstLine="656"/>
        <w:spacing w:after="0" w:line="269" w:lineRule="auto"/>
        <w:tabs>
          <w:tab w:leader="none" w:pos="1353"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Withdrawal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of this ADR (and of the ADSs evidenced hereby) shall be entitled to Delivery (at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Custodian’s designated office) of the Deposited Securities at the time represented by the ADSs evidenced hereby upon satisfaction of each of the following conditions: (i) the Holder (or a duly authorized attorney of the Holder) has duly Delivered ADSs to the Depositary at its Principal Office the ADSs evidenced hereby (and, if applicable, this ADR evidencing such ADSs) for the purpose of withdrawal of the Deposit 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this ADR evidencing the surrendered ADSs, of the Deposit Agreement, of the Company’s Articles of Association and of any applicable laws and the rules of the applicable book-entry settlement entity, and to any provisions of or governing the Deposited Securities, in each case as in effect at the time thereof.</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59" w:name="page60"/>
    <w:bookmarkEnd w:id="59"/>
    <w:p>
      <w:pPr>
        <w:ind w:firstLine="648"/>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 ct however, in each case</w:t>
      </w:r>
      <w:r>
        <w:rPr>
          <w:rFonts w:ascii="Arial" w:cs="Arial" w:eastAsia="Arial" w:hAnsi="Arial"/>
          <w:sz w:val="17"/>
          <w:szCs w:val="17"/>
          <w:color w:val="auto"/>
        </w:rPr>
        <w:t>, to the terms and conditions of the Deposit Agreement, of this ADR evidencing the ADS so cancelled, of the Articles of</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of the Company, of any applicable laws and of the rules of the applicable book-entry settlement entity, and to the terms and conditions of or governing the Deposited Securities, in each case as in effect at the time thereof.</w:t>
      </w:r>
    </w:p>
    <w:p>
      <w:pPr>
        <w:spacing w:after="0" w:line="206"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w:t>
      </w:r>
    </w:p>
    <w:p>
      <w:pPr>
        <w:spacing w:after="0" w:line="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ADSs. Notwithstanding anything else contained in this ADR or th e Deposit Agreement, the Depositary may make delivery at the Principal Office of the Depositary of (i) any cash dividends or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cash or other property (other than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0" w:name="page61"/>
    <w:bookmarkEnd w:id="60"/>
    <w:p>
      <w:pPr>
        <w:ind w:firstLine="656"/>
        <w:spacing w:after="0" w:line="289" w:lineRule="auto"/>
        <w:tabs>
          <w:tab w:leader="none" w:pos="1353"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this ADR (and of the ADSs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on the books maintained for such purpose and the Depositary shall, as promptly as practicable,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 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this ADR, of the Deposit Agree ment and of applicable law, in each case as in effect at the time thereof.</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The Registrar shall register the split-up or combination of this ADR (and of the ADSs represented hereby) on the books maintained for such purpose and the Depositary shall, as promptly as practicable,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this ADR, of the Deposit Agreement and of applicable law, in each case as in effect at the time thereof.</w:t>
      </w:r>
    </w:p>
    <w:p>
      <w:pPr>
        <w:spacing w:after="0" w:line="20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Depositary may appoint one or more co-transfer agents for the purpose of effecting transfers, combinations and split-ups of ADRs at designated transfer offices on behalf of the Depositary, and the Depositary shall notify the Company of any such appointment. In carrying out its functions, a co-transfer agent may require evidence of authority and compliance with applicable laws and other requirements by Holders or persons entitled to such ADRs and will be entitled to protection and indemnity to the same extent as the Depositary. Such co-transfer agents may be removed and substitutes appointed by the Depositary, and the Depositary shall notify the Company of any such removal or substitution. Each co-transfer agent appointed under Section 2.6 of the Deposit Agreement (other than the Depositary) shall give notice in writing to the Depositary accepting such appointment and agreeing to be bound by the applicable terms of the Deposit Agreement.</w:t>
      </w:r>
    </w:p>
    <w:p>
      <w:pPr>
        <w:spacing w:after="0" w:line="212" w:lineRule="exact"/>
        <w:rPr>
          <w:sz w:val="20"/>
          <w:szCs w:val="20"/>
          <w:color w:val="auto"/>
        </w:rPr>
      </w:pPr>
    </w:p>
    <w:p>
      <w:pPr>
        <w:ind w:firstLine="656"/>
        <w:spacing w:after="0" w:line="271" w:lineRule="auto"/>
        <w:tabs>
          <w:tab w:leader="none" w:pos="1353"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Pre-Conditions to Registration, Transfer, Etc</w:t>
      </w:r>
      <w:r>
        <w:rPr>
          <w:rFonts w:ascii="Arial" w:cs="Arial" w:eastAsia="Arial" w:hAnsi="Arial"/>
          <w:sz w:val="17"/>
          <w:szCs w:val="17"/>
          <w:b w:val="1"/>
          <w:bCs w:val="1"/>
          <w:color w:val="auto"/>
        </w:rPr>
        <w:t xml:space="preserve">. </w:t>
      </w:r>
      <w:r>
        <w:rPr>
          <w:rFonts w:ascii="Arial" w:cs="Arial" w:eastAsia="Arial" w:hAnsi="Arial"/>
          <w:sz w:val="17"/>
          <w:szCs w:val="17"/>
          <w:color w:val="auto"/>
        </w:rPr>
        <w:t>As a condition precedent to the execution and delivery, registration of issuance,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split-up, 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 ing any such tax or charge and fee with respect to Shares being deposited or withdrawn) and payment of any applicable fees and charges of the Depositary as provided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and in this ADR, (ii) the production of proof satisfactory to it as to the identity and genuineness of any signature or any other matters contemplated in Section 3.1 of the Deposit Agreement,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this ADR, if applicable, the Deposit Agreement and applicable law.</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1" w:name="page62"/>
    <w:bookmarkEnd w:id="61"/>
    <w:p>
      <w:pPr>
        <w:ind w:firstLine="648"/>
        <w:spacing w:after="0" w:line="287" w:lineRule="auto"/>
        <w:rPr>
          <w:sz w:val="20"/>
          <w:szCs w:val="20"/>
          <w:color w:val="auto"/>
        </w:rPr>
      </w:pPr>
      <w:r>
        <w:rPr>
          <w:rFonts w:ascii="Arial" w:cs="Arial" w:eastAsia="Arial" w:hAnsi="Arial"/>
          <w:sz w:val="16"/>
          <w:szCs w:val="16"/>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Shares or ADSs are listed, or under any provision of the Deposit Agreement or this ADR, or under any provision of, or governing, the Dep osited Securities, or because of a meeting of shareholders of the Company or for any other reason, subject, in all cases to paragraph (24) and Section 7.8 of the Deposit Agreement.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the withdrawal of the Deposited Securities, and (iv) other circumstances specifically contemplated by Instruction I.A.(l) of the General Instructions to Form F-6 (as such General Instructions may be amended from time to time).</w:t>
      </w:r>
    </w:p>
    <w:p>
      <w:pPr>
        <w:spacing w:after="0" w:line="192" w:lineRule="exact"/>
        <w:rPr>
          <w:sz w:val="20"/>
          <w:szCs w:val="20"/>
          <w:color w:val="auto"/>
        </w:rPr>
      </w:pPr>
    </w:p>
    <w:p>
      <w:pPr>
        <w:ind w:right="60" w:firstLine="656"/>
        <w:spacing w:after="0" w:line="272" w:lineRule="auto"/>
        <w:tabs>
          <w:tab w:leader="none" w:pos="1353"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Information Requests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 Deposit Agreement or this ADR, each Holder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Beneficial Owner of the ADSs represented hereby agrees to comply with requests from the Company pursuant to applicable law, the rules and requirements of the New York Stock Exchange, and of any other stock exchange on which Shares or ADSs are, or will be, registered, traded or listed, or the Articles of Association of the Company, which are made to pro vide information, </w:t>
      </w:r>
      <w:r>
        <w:rPr>
          <w:rFonts w:ascii="Arial" w:cs="Arial" w:eastAsia="Arial" w:hAnsi="Arial"/>
          <w:sz w:val="17"/>
          <w:szCs w:val="17"/>
          <w:i w:val="1"/>
          <w:iCs w:val="1"/>
          <w:color w:val="auto"/>
        </w:rPr>
        <w:t>inter alia</w:t>
      </w:r>
      <w:r>
        <w:rPr>
          <w:rFonts w:ascii="Arial" w:cs="Arial" w:eastAsia="Arial" w:hAnsi="Arial"/>
          <w:sz w:val="17"/>
          <w:szCs w:val="17"/>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p>
      <w:pPr>
        <w:ind w:firstLine="656"/>
        <w:spacing w:after="0" w:line="270" w:lineRule="auto"/>
        <w:tabs>
          <w:tab w:leader="none" w:pos="1353"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 of this ADR or of the Deposit Agreement, the Company may restrict transfers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2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Applicable laws and regulations may require holders and beneficial 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12" w:lineRule="exact"/>
        <w:rPr>
          <w:sz w:val="20"/>
          <w:szCs w:val="20"/>
          <w:color w:val="auto"/>
        </w:rPr>
      </w:pPr>
    </w:p>
    <w:p>
      <w:pPr>
        <w:ind w:firstLine="656"/>
        <w:spacing w:after="0" w:line="284" w:lineRule="auto"/>
        <w:tabs>
          <w:tab w:leader="none" w:pos="1353"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Liability of Holder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ADR or any Deposited Securities or ADSs shall be payable by the Holders and Beneficial Owners to the Depositary. The Company, the Custodian and/or Depositary may withhold or deduct from any distributions made in respect of Deposited Securities and may sell for the account of a Holder and/or Beneficial Owner any or all of the Deposited Securities and apply such distributions and sale proceeds in payment of any taxes (including applicable interest and penalties) or charges that are or may be payable by Holders or Beneficial Owners in respect of the ADSs, Deposited Securities and ADRs, the Holder and the Beneficial Owner hereof remaining liable for any deficiency. The Custodian may refuse the deposit of Shares and the Depositary may refuse to issue ADSs, to deliver ADRs, to register the transfer of ADSs, to register the split-up or combination of ADRs and permit (subject to paragraph (24) hereof and Section 7.8 of the Deposit Agreement) the withdrawal of Deposited Securities until payment in full of such tax, charge, penalty or interest is</w:t>
      </w:r>
    </w:p>
    <w:p>
      <w:pPr>
        <w:spacing w:after="0" w:line="5" w:lineRule="exact"/>
        <w:rPr>
          <w:rFonts w:ascii="Arial" w:cs="Arial" w:eastAsia="Arial" w:hAnsi="Arial"/>
          <w:sz w:val="16"/>
          <w:szCs w:val="16"/>
          <w:b w:val="1"/>
          <w:bCs w:val="1"/>
          <w:color w:val="auto"/>
        </w:rPr>
      </w:pPr>
    </w:p>
    <w:p>
      <w:pPr>
        <w:ind w:right="1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received. Every Holder and Beneficial Owner agrees to indemnify the Depositary, the Company, the Custodian, and any of their agents, officers, employees and Affiliates for, and hold each of them harmless from, any claims with respect to taxes or additions to tax (including applicable interest and penalties thereon) arising fro m any tax benefit obtained for such Holder and/or Beneficial Owner.</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63" w:name="page64"/>
    <w:bookmarkEnd w:id="63"/>
    <w:p>
      <w:pPr>
        <w:ind w:left="-20" w:firstLine="656"/>
        <w:spacing w:after="0" w:line="290" w:lineRule="auto"/>
        <w:tabs>
          <w:tab w:leader="none" w:pos="1333"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 of Depositors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 deemed thereby to</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 e and clear of any lien, encumbrance, security interest, charge, mortgage or adverse claim, and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7" w:lineRule="exact"/>
        <w:rPr>
          <w:rFonts w:ascii="Arial" w:cs="Arial" w:eastAsia="Arial" w:hAnsi="Arial"/>
          <w:sz w:val="16"/>
          <w:szCs w:val="16"/>
          <w:b w:val="1"/>
          <w:bCs w:val="1"/>
          <w:color w:val="auto"/>
        </w:rPr>
      </w:pPr>
    </w:p>
    <w:p>
      <w:pPr>
        <w:ind w:left="-20" w:firstLine="656"/>
        <w:spacing w:after="0" w:line="268" w:lineRule="auto"/>
        <w:tabs>
          <w:tab w:leader="none" w:pos="1333"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Proofs, Certificates and Other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person presenting Shares for deposit, any Holder and any Beneficial Owner may be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and compliance with applicable laws, the terms of the Deposit Agreement or the ADR (s) evidencing the ADSs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Shares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paragraph (24) and Section 7.8 of the Deposit Agreement, the delivery of any Deposited Securities until such proof or other i nformation is filed or such certifications are executed, or such representations are made, or such other information or documentation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64" w:name="page65"/>
    <w:bookmarkEnd w:id="64"/>
    <w:p>
      <w:pPr>
        <w:ind w:left="1460" w:hanging="804"/>
        <w:spacing w:after="0"/>
        <w:tabs>
          <w:tab w:leader="none" w:pos="1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of 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shall charge the following fees:</w:t>
      </w:r>
    </w:p>
    <w:p>
      <w:pPr>
        <w:spacing w:after="0" w:line="256" w:lineRule="exact"/>
        <w:rPr>
          <w:rFonts w:ascii="Arial" w:cs="Arial" w:eastAsia="Arial" w:hAnsi="Arial"/>
          <w:sz w:val="18"/>
          <w:szCs w:val="18"/>
          <w:b w:val="1"/>
          <w:bCs w:val="1"/>
          <w:color w:val="auto"/>
        </w:rPr>
      </w:pPr>
    </w:p>
    <w:p>
      <w:pPr>
        <w:ind w:left="1960" w:right="140" w:hanging="655"/>
        <w:spacing w:after="0" w:line="264" w:lineRule="auto"/>
        <w:tabs>
          <w:tab w:leader="none" w:pos="2608" w:val="left"/>
        </w:tabs>
        <w:numPr>
          <w:ilvl w:val="1"/>
          <w:numId w:val="33"/>
        </w:numPr>
        <w:rPr>
          <w:rFonts w:ascii="Arial" w:cs="Arial" w:eastAsia="Arial" w:hAnsi="Arial"/>
          <w:sz w:val="18"/>
          <w:szCs w:val="18"/>
          <w:b w:val="1"/>
          <w:bCs w:val="1"/>
          <w:color w:val="auto"/>
        </w:rPr>
      </w:pPr>
      <w:r>
        <w:rPr>
          <w:rFonts w:ascii="Arial" w:cs="Arial" w:eastAsia="Arial" w:hAnsi="Arial"/>
          <w:sz w:val="18"/>
          <w:szCs w:val="18"/>
          <w:u w:val="single" w:color="auto"/>
          <w:color w:val="auto"/>
        </w:rPr>
        <w:t>Issuance Fee</w:t>
      </w:r>
      <w:r>
        <w:rPr>
          <w:rFonts w:ascii="Arial" w:cs="Arial" w:eastAsia="Arial" w:hAnsi="Arial"/>
          <w:sz w:val="18"/>
          <w:szCs w:val="18"/>
          <w:color w:val="auto"/>
        </w:rPr>
        <w:t>: to any person depositing Shares or to whom ADSs are issued upon the deposit of Shares, a fee not in excess of U.S. $5.00 per 100 ADSs (or fraction thereof) so issued under the terms of the Deposit Agreement (excluding issuances as a result of distributions described in paragraph (iv) below);</w:t>
      </w:r>
    </w:p>
    <w:p>
      <w:pPr>
        <w:spacing w:after="0" w:line="208" w:lineRule="exact"/>
        <w:rPr>
          <w:rFonts w:ascii="Arial" w:cs="Arial" w:eastAsia="Arial" w:hAnsi="Arial"/>
          <w:sz w:val="18"/>
          <w:szCs w:val="18"/>
          <w:b w:val="1"/>
          <w:bCs w:val="1"/>
          <w:color w:val="auto"/>
        </w:rPr>
      </w:pPr>
    </w:p>
    <w:p>
      <w:pPr>
        <w:ind w:left="1960" w:right="120" w:hanging="655"/>
        <w:spacing w:after="0" w:line="277" w:lineRule="auto"/>
        <w:tabs>
          <w:tab w:leader="none" w:pos="2608" w:val="left"/>
        </w:tabs>
        <w:numPr>
          <w:ilvl w:val="1"/>
          <w:numId w:val="33"/>
        </w:numPr>
        <w:rPr>
          <w:rFonts w:ascii="Arial" w:cs="Arial" w:eastAsia="Arial" w:hAnsi="Arial"/>
          <w:sz w:val="18"/>
          <w:szCs w:val="18"/>
          <w:b w:val="1"/>
          <w:bCs w:val="1"/>
          <w:color w:val="auto"/>
        </w:rPr>
      </w:pPr>
      <w:r>
        <w:rPr>
          <w:rFonts w:ascii="Arial" w:cs="Arial" w:eastAsia="Arial" w:hAnsi="Arial"/>
          <w:sz w:val="18"/>
          <w:szCs w:val="18"/>
          <w:u w:val="single" w:color="auto"/>
          <w:color w:val="auto"/>
        </w:rPr>
        <w:t>Cancellation Fee</w:t>
      </w:r>
      <w:r>
        <w:rPr>
          <w:rFonts w:ascii="Arial" w:cs="Arial" w:eastAsia="Arial" w:hAnsi="Arial"/>
          <w:sz w:val="18"/>
          <w:szCs w:val="18"/>
          <w:color w:val="auto"/>
        </w:rPr>
        <w:t>: to any person surrendering ADSs for cancellation and withdrawal of Deposited Securities, a fee not in excess of U.S. $5.00 per 100 ADSs (or fraction thereof) surrendered;</w:t>
      </w:r>
    </w:p>
    <w:p>
      <w:pPr>
        <w:spacing w:after="0" w:line="197" w:lineRule="exact"/>
        <w:rPr>
          <w:rFonts w:ascii="Arial" w:cs="Arial" w:eastAsia="Arial" w:hAnsi="Arial"/>
          <w:sz w:val="18"/>
          <w:szCs w:val="18"/>
          <w:b w:val="1"/>
          <w:bCs w:val="1"/>
          <w:color w:val="auto"/>
        </w:rPr>
      </w:pPr>
    </w:p>
    <w:p>
      <w:pPr>
        <w:ind w:left="1960" w:hanging="655"/>
        <w:spacing w:after="0" w:line="308" w:lineRule="auto"/>
        <w:tabs>
          <w:tab w:leader="none" w:pos="2608" w:val="left"/>
        </w:tabs>
        <w:numPr>
          <w:ilvl w:val="1"/>
          <w:numId w:val="33"/>
        </w:numPr>
        <w:rPr>
          <w:rFonts w:ascii="Arial" w:cs="Arial" w:eastAsia="Arial" w:hAnsi="Arial"/>
          <w:sz w:val="17"/>
          <w:szCs w:val="17"/>
          <w:b w:val="1"/>
          <w:bCs w:val="1"/>
          <w:color w:val="auto"/>
        </w:rPr>
      </w:pPr>
      <w:r>
        <w:rPr>
          <w:rFonts w:ascii="Arial" w:cs="Arial" w:eastAsia="Arial" w:hAnsi="Arial"/>
          <w:sz w:val="17"/>
          <w:szCs w:val="17"/>
          <w:u w:val="single" w:color="auto"/>
          <w:color w:val="auto"/>
        </w:rPr>
        <w:t>Cash Distribution Fee</w:t>
      </w:r>
      <w:r>
        <w:rPr>
          <w:rFonts w:ascii="Arial" w:cs="Arial" w:eastAsia="Arial" w:hAnsi="Arial"/>
          <w:sz w:val="17"/>
          <w:szCs w:val="17"/>
          <w:color w:val="auto"/>
        </w:rPr>
        <w:t>: to any Holder of ADS(s), a fee not in excess of U.S. $5.00 per 100 ADSs (or fraction thereof) held for the distribution of cash dividends or other cash distributions (</w:t>
      </w:r>
      <w:r>
        <w:rPr>
          <w:rFonts w:ascii="Arial" w:cs="Arial" w:eastAsia="Arial" w:hAnsi="Arial"/>
          <w:sz w:val="17"/>
          <w:szCs w:val="17"/>
          <w:i w:val="1"/>
          <w:iCs w:val="1"/>
          <w:color w:val="auto"/>
        </w:rPr>
        <w:t>i.e.</w:t>
      </w:r>
      <w:r>
        <w:rPr>
          <w:rFonts w:ascii="Arial" w:cs="Arial" w:eastAsia="Arial" w:hAnsi="Arial"/>
          <w:sz w:val="17"/>
          <w:szCs w:val="17"/>
          <w:color w:val="auto"/>
        </w:rPr>
        <w:t>, sale of rights and other entitlements); and</w:t>
      </w:r>
    </w:p>
    <w:p>
      <w:pPr>
        <w:spacing w:after="0" w:line="173" w:lineRule="exact"/>
        <w:rPr>
          <w:rFonts w:ascii="Arial" w:cs="Arial" w:eastAsia="Arial" w:hAnsi="Arial"/>
          <w:sz w:val="17"/>
          <w:szCs w:val="17"/>
          <w:b w:val="1"/>
          <w:bCs w:val="1"/>
          <w:color w:val="auto"/>
        </w:rPr>
      </w:pPr>
    </w:p>
    <w:p>
      <w:pPr>
        <w:ind w:left="1960" w:right="340" w:hanging="655"/>
        <w:spacing w:after="0" w:line="264" w:lineRule="auto"/>
        <w:tabs>
          <w:tab w:leader="none" w:pos="2608" w:val="left"/>
        </w:tabs>
        <w:numPr>
          <w:ilvl w:val="1"/>
          <w:numId w:val="33"/>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 Distribution/Rights Exercise Fee</w:t>
      </w:r>
      <w:r>
        <w:rPr>
          <w:rFonts w:ascii="Arial" w:cs="Arial" w:eastAsia="Arial" w:hAnsi="Arial"/>
          <w:sz w:val="18"/>
          <w:szCs w:val="18"/>
          <w:color w:val="auto"/>
        </w:rPr>
        <w:t>: to any Holder of ADS(s), a fee not in excess of U.S. $5.00 per 100 ADSs (or fraction thereof) held for (a) stock dividends or other free stock distributions or (b) exercise of rights to purchase additional ADSs;</w:t>
      </w:r>
    </w:p>
    <w:p>
      <w:pPr>
        <w:spacing w:after="0" w:line="208" w:lineRule="exact"/>
        <w:rPr>
          <w:rFonts w:ascii="Arial" w:cs="Arial" w:eastAsia="Arial" w:hAnsi="Arial"/>
          <w:sz w:val="18"/>
          <w:szCs w:val="18"/>
          <w:b w:val="1"/>
          <w:bCs w:val="1"/>
          <w:color w:val="auto"/>
        </w:rPr>
      </w:pPr>
    </w:p>
    <w:p>
      <w:pPr>
        <w:ind w:left="1960" w:right="320" w:hanging="655"/>
        <w:spacing w:after="0" w:line="342" w:lineRule="auto"/>
        <w:tabs>
          <w:tab w:leader="none" w:pos="2608" w:val="left"/>
        </w:tabs>
        <w:numPr>
          <w:ilvl w:val="1"/>
          <w:numId w:val="33"/>
        </w:numPr>
        <w:rPr>
          <w:rFonts w:ascii="Arial" w:cs="Arial" w:eastAsia="Arial" w:hAnsi="Arial"/>
          <w:sz w:val="16"/>
          <w:szCs w:val="16"/>
          <w:b w:val="1"/>
          <w:bCs w:val="1"/>
          <w:color w:val="auto"/>
        </w:rPr>
      </w:pPr>
      <w:r>
        <w:rPr>
          <w:rFonts w:ascii="Arial" w:cs="Arial" w:eastAsia="Arial" w:hAnsi="Arial"/>
          <w:sz w:val="16"/>
          <w:szCs w:val="16"/>
          <w:u w:val="single" w:color="auto"/>
          <w:color w:val="auto"/>
        </w:rPr>
        <w:t>Other Distribution Fee</w:t>
      </w:r>
      <w:r>
        <w:rPr>
          <w:rFonts w:ascii="Arial" w:cs="Arial" w:eastAsia="Arial" w:hAnsi="Arial"/>
          <w:sz w:val="16"/>
          <w:szCs w:val="16"/>
          <w:color w:val="auto"/>
        </w:rPr>
        <w:t>: to any Holder of ADS(s), a fee not in excess of U.S. $5.00 per 100 ADSs (or fraction thereof) held for the distribution of securities other than ADSs or rights to purchase additional ADSs (i.e., spin-off shares); and</w:t>
      </w:r>
    </w:p>
    <w:p>
      <w:pPr>
        <w:spacing w:after="0" w:line="150" w:lineRule="exact"/>
        <w:rPr>
          <w:rFonts w:ascii="Arial" w:cs="Arial" w:eastAsia="Arial" w:hAnsi="Arial"/>
          <w:sz w:val="16"/>
          <w:szCs w:val="16"/>
          <w:b w:val="1"/>
          <w:bCs w:val="1"/>
          <w:color w:val="auto"/>
        </w:rPr>
      </w:pPr>
    </w:p>
    <w:p>
      <w:pPr>
        <w:ind w:left="1960" w:right="200" w:hanging="655"/>
        <w:spacing w:after="0" w:line="277" w:lineRule="auto"/>
        <w:tabs>
          <w:tab w:leader="none" w:pos="2608" w:val="left"/>
        </w:tabs>
        <w:numPr>
          <w:ilvl w:val="1"/>
          <w:numId w:val="33"/>
        </w:numPr>
        <w:rPr>
          <w:rFonts w:ascii="Arial" w:cs="Arial" w:eastAsia="Arial" w:hAnsi="Arial"/>
          <w:sz w:val="18"/>
          <w:szCs w:val="18"/>
          <w:b w:val="1"/>
          <w:bCs w:val="1"/>
          <w:color w:val="auto"/>
        </w:rPr>
      </w:pPr>
      <w:r>
        <w:rPr>
          <w:rFonts w:ascii="Arial" w:cs="Arial" w:eastAsia="Arial" w:hAnsi="Arial"/>
          <w:sz w:val="18"/>
          <w:szCs w:val="18"/>
          <w:u w:val="single" w:color="auto"/>
          <w:color w:val="auto"/>
        </w:rPr>
        <w:t>Depositary Services Fee</w:t>
      </w:r>
      <w:r>
        <w:rPr>
          <w:rFonts w:ascii="Arial" w:cs="Arial" w:eastAsia="Arial" w:hAnsi="Arial"/>
          <w:sz w:val="18"/>
          <w:szCs w:val="18"/>
          <w:color w:val="auto"/>
        </w:rPr>
        <w:t>: to any Holder of ADS(s), a fee not in excess of U.S. $5.00 per 100 ADSs (or fraction thereof) held on the applicable record date(s) established by the Depositary.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Holders, Beneficial Owners, persons depositing Shares and persons surrendering ADSs for cancellation and for the purpose of withdrawing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Deposited Securities shall be responsible for the following charges:</w:t>
      </w:r>
    </w:p>
    <w:p>
      <w:pPr>
        <w:spacing w:after="0" w:line="238" w:lineRule="exact"/>
        <w:rPr>
          <w:sz w:val="20"/>
          <w:szCs w:val="20"/>
          <w:color w:val="auto"/>
        </w:rPr>
      </w:pPr>
    </w:p>
    <w:p>
      <w:pPr>
        <w:ind w:left="2600" w:hanging="1295"/>
        <w:spacing w:after="0"/>
        <w:tabs>
          <w:tab w:leader="none" w:pos="2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52" w:lineRule="exact"/>
        <w:rPr>
          <w:rFonts w:ascii="Arial" w:cs="Arial" w:eastAsia="Arial" w:hAnsi="Arial"/>
          <w:sz w:val="18"/>
          <w:szCs w:val="18"/>
          <w:color w:val="auto"/>
        </w:rPr>
      </w:pPr>
    </w:p>
    <w:p>
      <w:pPr>
        <w:ind w:left="1960" w:right="100" w:hanging="655"/>
        <w:spacing w:after="0" w:line="264" w:lineRule="auto"/>
        <w:tabs>
          <w:tab w:leader="none" w:pos="26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208" w:lineRule="exact"/>
        <w:rPr>
          <w:rFonts w:ascii="Arial" w:cs="Arial" w:eastAsia="Arial" w:hAnsi="Arial"/>
          <w:sz w:val="18"/>
          <w:szCs w:val="18"/>
          <w:color w:val="auto"/>
        </w:rPr>
      </w:pPr>
    </w:p>
    <w:p>
      <w:pPr>
        <w:ind w:left="1960" w:right="80" w:hanging="655"/>
        <w:spacing w:after="0" w:line="308" w:lineRule="auto"/>
        <w:tabs>
          <w:tab w:leader="none" w:pos="2608"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such cable, telex and facsimile transmission and delivery expenses as are expressly provided in the Deposit Agreement to be at the expense of the person depositing or withdrawing Shares or Holders and Beneficial Owners of ADSs;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5" w:name="page66"/>
    <w:bookmarkEnd w:id="65"/>
    <w:p>
      <w:pPr>
        <w:ind w:left="2600" w:hanging="1295"/>
        <w:spacing w:after="0"/>
        <w:tabs>
          <w:tab w:leader="none" w:pos="2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252" w:lineRule="exact"/>
        <w:rPr>
          <w:rFonts w:ascii="Arial" w:cs="Arial" w:eastAsia="Arial" w:hAnsi="Arial"/>
          <w:sz w:val="18"/>
          <w:szCs w:val="18"/>
          <w:color w:val="auto"/>
        </w:rPr>
      </w:pPr>
    </w:p>
    <w:p>
      <w:pPr>
        <w:ind w:left="1960" w:right="800" w:hanging="655"/>
        <w:spacing w:after="0" w:line="342" w:lineRule="auto"/>
        <w:tabs>
          <w:tab w:leader="none" w:pos="2608"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such fees and expenses as are incurred by the Depositary in connection with compliance with exchange control regulations and other regulatory requirements applicable to Shares, Deposited Securities, ADSs and ADRs; and</w:t>
      </w:r>
    </w:p>
    <w:p>
      <w:pPr>
        <w:spacing w:after="0" w:line="150" w:lineRule="exact"/>
        <w:rPr>
          <w:rFonts w:ascii="Arial" w:cs="Arial" w:eastAsia="Arial" w:hAnsi="Arial"/>
          <w:sz w:val="16"/>
          <w:szCs w:val="16"/>
          <w:color w:val="auto"/>
        </w:rPr>
      </w:pPr>
    </w:p>
    <w:p>
      <w:pPr>
        <w:ind w:left="1960" w:right="520" w:hanging="655"/>
        <w:spacing w:after="0" w:line="277" w:lineRule="auto"/>
        <w:tabs>
          <w:tab w:leader="none" w:pos="26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fees and expenses incurred by the Depositary, the Custodian, or any nominee in connection with the delivery or servicing of Deposited Securities.</w:t>
      </w:r>
    </w:p>
    <w:p>
      <w:pPr>
        <w:spacing w:after="0" w:line="19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All fees and charges may, at any time and from time to time, be changed by agreement between the Depositary and Company but, in the case of fees and charges payable by Holders or Beneficial Owners, only in the manner contemplated by paragraph (22) of this ADR and as contemplated in the Deposit Agreement. The Depositary will provide, without charge, a copy of its latest fee schedule to anyone upon request.</w:t>
      </w:r>
    </w:p>
    <w:p>
      <w:pPr>
        <w:spacing w:after="0" w:line="19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Depositary Fees payable upon (i) deposit of Shares against issuance of ADSs and (ii) surrender of ADSs for cancellation and withdrawal of Deposited Securities will be charged by the Depositary to the person to whom the ADSs so issued are delivered (in the case of ADS issuances) and to the person who delivers the ADSs for cancellation to the Depositary (in the case of ADS cancellations). In the case of ADSs issued by the Depositary into DTC or presented to the Depositary via DTC, the ADS issuance and cancellation fees will be payable to the Depositary by the DTC Participant(s) receiving the ADSs from the Depositary or the DTC Participant(s) surrendering the ADSs to the Depositary for cancellation, as the case may be, on behalf of the Beneficial Owner(s) and will be charged by the DTC Participant(s) to the account(s) of the applicable Beneficial Owner(s) in accordance with the procedures and practices of the DTC participant(s) as in effect at the time. Depositary fees in respect of distributions and the Depositary services fee are payable to the Depositary by Holders as of the applicable ADS Record Date established by the Depositary. In the case of distributions of cash, the amount of the applicable Depositary fees is deducted by the Depositary from the funds being distributed. In the case of distributions other than cash and the Depositary service fee, the Depositary will invoice the applicable Holders as of the ADS Record Date established by the Depositary. For ADSs held through DTC, the Depositary fees for distributions other than cash and the Depositary service fee are charged by the Depositary to the DTC Participants in accordance with the procedures and practices prescribed by DTC from time to time and the DTC Participants in turn charge the amount of such fees to the Beneficia l Owners for whom they hold ADSs.</w:t>
      </w:r>
    </w:p>
    <w:p>
      <w:pPr>
        <w:spacing w:after="0" w:line="21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Depositary may remit to the Company all or a portion of the Depositary fees charged for the reimbursement of certain expenses incurred by the Company in respect of the ADR program established pursuant to the Deposit Agreement upon such terms and conditions as the Company and the Depositary may agree from time to time. The Company shall pay to the Depositary such fees and charges and reimburse the Depositary for such out-of-pocket expenses as the Depositary and the Company may agree from time to time. Responsibility for payment of such charges and reimbursements may from time to time be changed by agreement between the Company and the Depositary. Unless otherwise agreed, the Depositary shall present its statement for such expenses and fees or charges to the Company once every three months. The charges and expenses of the Custodian are for the sole account of the Depositary.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6" w:name="page67"/>
    <w:bookmarkEnd w:id="66"/>
    <w:p>
      <w:pPr>
        <w:ind w:right="80" w:firstLine="648"/>
        <w:spacing w:after="0" w:line="264" w:lineRule="auto"/>
        <w:rPr>
          <w:sz w:val="20"/>
          <w:szCs w:val="20"/>
          <w:color w:val="auto"/>
        </w:rPr>
      </w:pPr>
      <w:r>
        <w:rPr>
          <w:rFonts w:ascii="Arial" w:cs="Arial" w:eastAsia="Arial" w:hAnsi="Arial"/>
          <w:sz w:val="18"/>
          <w:szCs w:val="18"/>
          <w:color w:val="auto"/>
        </w:rPr>
        <w:t>The right of the Depositary to receive payment of fees, charges and expenses as provided above shall survive the termination of the Deposit Agreement. As to any Depositary, upon the resignation or removal of such Depositary as described in Section 5.4 of the Deposit Agreement, such right shall extend for those fees, charges and expenses incurred prior to the effectiveness of such resignation or removal.</w:t>
      </w:r>
    </w:p>
    <w:p>
      <w:pPr>
        <w:spacing w:after="0" w:line="204" w:lineRule="exact"/>
        <w:rPr>
          <w:sz w:val="20"/>
          <w:szCs w:val="20"/>
          <w:color w:val="auto"/>
        </w:rPr>
      </w:pPr>
    </w:p>
    <w:p>
      <w:pPr>
        <w:ind w:right="40" w:firstLine="656"/>
        <w:spacing w:after="0" w:line="291" w:lineRule="auto"/>
        <w:tabs>
          <w:tab w:leader="none" w:pos="1433"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Title to ADRs</w:t>
      </w:r>
      <w:r>
        <w:rPr>
          <w:rFonts w:ascii="Arial" w:cs="Arial" w:eastAsia="Arial" w:hAnsi="Arial"/>
          <w:sz w:val="16"/>
          <w:szCs w:val="16"/>
          <w:b w:val="1"/>
          <w:bCs w:val="1"/>
          <w:color w:val="auto"/>
        </w:rPr>
        <w:t xml:space="preserve">. </w:t>
      </w:r>
      <w:r>
        <w:rPr>
          <w:rFonts w:ascii="Arial" w:cs="Arial" w:eastAsia="Arial" w:hAnsi="Arial"/>
          <w:sz w:val="16"/>
          <w:szCs w:val="16"/>
          <w:color w:val="auto"/>
        </w:rPr>
        <w:t>It is a condition of this ADR, and every successive Holder of this ADR by accepting or holding the same consents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agrees, that title to this ADR (and to each ADS evidenced hereby) shall be 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 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7" w:lineRule="exact"/>
        <w:rPr>
          <w:rFonts w:ascii="Arial" w:cs="Arial" w:eastAsia="Arial" w:hAnsi="Arial"/>
          <w:sz w:val="16"/>
          <w:szCs w:val="16"/>
          <w:b w:val="1"/>
          <w:bCs w:val="1"/>
          <w:color w:val="auto"/>
        </w:rPr>
      </w:pPr>
    </w:p>
    <w:p>
      <w:pPr>
        <w:ind w:firstLine="656"/>
        <w:spacing w:after="0" w:line="255" w:lineRule="auto"/>
        <w:tabs>
          <w:tab w:leader="none" w:pos="1443"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 of ADR</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this ADR (and the ADSs represented hereby) shall not be entitled to any benefits under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 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220" w:lineRule="exact"/>
        <w:rPr>
          <w:rFonts w:ascii="Arial" w:cs="Arial" w:eastAsia="Arial" w:hAnsi="Arial"/>
          <w:sz w:val="18"/>
          <w:szCs w:val="18"/>
          <w:b w:val="1"/>
          <w:bCs w:val="1"/>
          <w:color w:val="auto"/>
        </w:rPr>
      </w:pPr>
    </w:p>
    <w:p>
      <w:pPr>
        <w:ind w:left="1460" w:hanging="804"/>
        <w:spacing w:after="0"/>
        <w:tabs>
          <w:tab w:leader="none" w:pos="1460" w:val="left"/>
        </w:tabs>
        <w:numPr>
          <w:ilvl w:val="0"/>
          <w:numId w:val="36"/>
        </w:numPr>
        <w:rPr>
          <w:rFonts w:ascii="Arial" w:cs="Arial" w:eastAsia="Arial" w:hAnsi="Arial"/>
          <w:sz w:val="18"/>
          <w:szCs w:val="18"/>
          <w:b w:val="1"/>
          <w:bCs w:val="1"/>
          <w:color w:val="auto"/>
        </w:rPr>
      </w:pPr>
      <w:r>
        <w:rPr>
          <w:rFonts w:ascii="Arial" w:cs="Arial" w:eastAsia="Arial" w:hAnsi="Arial"/>
          <w:sz w:val="18"/>
          <w:szCs w:val="18"/>
          <w:u w:val="single" w:color="auto"/>
          <w:color w:val="auto"/>
        </w:rPr>
        <w:t>Available Information; Reports; Inspection of Transfer Books</w:t>
      </w:r>
      <w:r>
        <w:rPr>
          <w:rFonts w:ascii="Arial" w:cs="Arial" w:eastAsia="Arial" w:hAnsi="Arial"/>
          <w:sz w:val="18"/>
          <w:szCs w:val="18"/>
          <w:color w:val="auto"/>
        </w:rPr>
        <w:t>.</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is subject to the periodic reporting requirements of the Exchange Act and, accordingly, is required to file or submit certain reports with the Commission. These reports can be retrieved from the Commission's website (</w:t>
      </w:r>
      <w:r>
        <w:rPr>
          <w:rFonts w:ascii="Arial" w:cs="Arial" w:eastAsia="Arial" w:hAnsi="Arial"/>
          <w:sz w:val="17"/>
          <w:szCs w:val="17"/>
          <w:u w:val="single" w:color="auto"/>
          <w:color w:val="auto"/>
        </w:rPr>
        <w:t>www.sec.gov</w:t>
      </w:r>
      <w:r>
        <w:rPr>
          <w:rFonts w:ascii="Arial" w:cs="Arial" w:eastAsia="Arial" w:hAnsi="Arial"/>
          <w:sz w:val="17"/>
          <w:szCs w:val="17"/>
          <w:color w:val="auto"/>
        </w:rPr>
        <w:t>) and can be inspected and copied at the public reference facilities maintained by the Commission located (as of the date of the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Secur ities and (b) made generally available to the holders of such Deposited Securities by the Company. The Depositary shall also provide or make available to Holders copies of such reports when furnished by the Company pursuant to Section 5.6 of the Deposit Agreement.</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67" w:name="page68"/>
    <w:bookmarkEnd w:id="67"/>
    <w:p>
      <w:pPr>
        <w:ind w:right="140" w:firstLine="648"/>
        <w:spacing w:after="0" w:line="312"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(24) and Section 7.8 of the Deposit Agreement.</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The Depositary shall promptly notify the Company of any such removal or appointment.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280"/>
          </w:cols>
          <w:pgMar w:left="240" w:top="517" w:right="3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Transfer Agent and Registrar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ectPr>
          <w:pgSz w:w="11900" w:h="16838" w:orient="portrait"/>
          <w:cols w:equalWidth="0" w:num="2">
            <w:col w:w="4980" w:space="720"/>
            <w:col w:w="5580"/>
          </w:cols>
          <w:pgMar w:left="240" w:top="517" w:right="37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1120" w:hanging="9"/>
        <w:spacing w:after="0" w:line="342" w:lineRule="auto"/>
        <w:rPr>
          <w:sz w:val="20"/>
          <w:szCs w:val="20"/>
          <w:color w:val="auto"/>
        </w:rPr>
      </w:pPr>
      <w:r>
        <w:rPr>
          <w:rFonts w:ascii="Arial" w:cs="Arial" w:eastAsia="Arial" w:hAnsi="Arial"/>
          <w:sz w:val="16"/>
          <w:szCs w:val="16"/>
          <w:color w:val="auto"/>
        </w:rPr>
        <w:t>_______________________________________ Authorized Signatory</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1720" w:hanging="9"/>
        <w:spacing w:after="0" w:line="342" w:lineRule="auto"/>
        <w:rPr>
          <w:sz w:val="20"/>
          <w:szCs w:val="20"/>
          <w:color w:val="auto"/>
        </w:rPr>
      </w:pPr>
      <w:r>
        <w:rPr>
          <w:rFonts w:ascii="Arial" w:cs="Arial" w:eastAsia="Arial" w:hAnsi="Arial"/>
          <w:sz w:val="16"/>
          <w:szCs w:val="16"/>
          <w:color w:val="auto"/>
        </w:rPr>
        <w:t>_______________________________________ Authorized Signatory</w:t>
      </w:r>
    </w:p>
    <w:p>
      <w:pPr>
        <w:spacing w:after="0" w:line="151" w:lineRule="exact"/>
        <w:rPr>
          <w:sz w:val="20"/>
          <w:szCs w:val="20"/>
          <w:color w:val="auto"/>
        </w:rPr>
      </w:pPr>
    </w:p>
    <w:p>
      <w:pPr>
        <w:sectPr>
          <w:pgSz w:w="11900" w:h="16838" w:orient="portrait"/>
          <w:cols w:equalWidth="0" w:num="4">
            <w:col w:w="260" w:space="100"/>
            <w:col w:w="4620" w:space="720"/>
            <w:col w:w="260" w:space="100"/>
            <w:col w:w="5220"/>
          </w:cols>
          <w:pgMar w:left="240" w:top="517" w:right="37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The address of the Principal Office of the Depositary is 388 Greenwich Street, New York, New York 10013, U.S.A.</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type w:val="continuous"/>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[FORM OF REVERSE OF ADR]</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SUMMARY OF CERTAIN ADDITIONAL PROVISIONS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DEPOSIT AGREEMENT</w:t>
      </w:r>
    </w:p>
    <w:p>
      <w:pPr>
        <w:spacing w:after="0" w:line="248" w:lineRule="exact"/>
        <w:rPr>
          <w:sz w:val="20"/>
          <w:szCs w:val="20"/>
          <w:color w:val="auto"/>
        </w:rPr>
      </w:pPr>
    </w:p>
    <w:p>
      <w:pPr>
        <w:ind w:firstLine="656"/>
        <w:spacing w:after="0" w:line="283" w:lineRule="auto"/>
        <w:tabs>
          <w:tab w:leader="none" w:pos="1443"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Dividends and Distributions in Cash, Shares, etc</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 cash dividend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cash distribution, the Company shall give notice thereof to the Depositary at least twenty (20) days (or such other number of days as the Depositary and the Company may from time to time agree to) prior to the proposed distribution specifying, </w:t>
      </w:r>
      <w:r>
        <w:rPr>
          <w:rFonts w:ascii="Arial" w:cs="Arial" w:eastAsia="Arial" w:hAnsi="Arial"/>
          <w:sz w:val="16"/>
          <w:szCs w:val="16"/>
          <w:u w:val="single" w:color="auto"/>
          <w:color w:val="auto"/>
        </w:rPr>
        <w:t>inter alia</w:t>
      </w:r>
      <w:r>
        <w:rPr>
          <w:rFonts w:ascii="Arial" w:cs="Arial" w:eastAsia="Arial" w:hAnsi="Arial"/>
          <w:sz w:val="16"/>
          <w:szCs w:val="16"/>
          <w:color w:val="auto"/>
        </w:rPr>
        <w:t>, the record date applicable for determining the holders of Deposited Securities entitled to receive such distribution. Upon the timely receipt of such notice, the Depositary shall establish an ADS Record Date upon the terms described in Section 4.9 of the Deposit Agreement. Upon receipt of confirmation from the Custodian of the receipt of any cash dividend or other cash distribution on any Deposited Securities, or upon receipt of proceeds from the sale of any Deposited Securities or any other entitlements held in respect of Deposited Securities under the terms hereof, the Depositary will (i) if at the time of receipt thereof any amounts received in a Foreign Currency can, in the judgment of the Depositary (pursuant to Section 4.8 of the Deposit Agreement), be converted on a practicable basis into Dollars transferable to the United States, promptly convert or cause to be converted such cash dividend, distribution or proceeds into Dollars (on the terms described in Section 4.8 of the Deposit Agreement), (ii)&amp;# 160;if applicable and unless previously established, establish the ADS Record Date upon the terms described in Section 4.9 of the Deposit Agreement, and (iii) distribute promptly the amount thus received (net of (a) the applicable fees and charges of, and expenses incurred by, the Depositary and (b)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w:t>
      </w:r>
    </w:p>
    <w:p>
      <w:pPr>
        <w:spacing w:after="0" w:line="2" w:lineRule="exact"/>
        <w:rPr>
          <w:rFonts w:ascii="Arial" w:cs="Arial" w:eastAsia="Arial" w:hAnsi="Arial"/>
          <w:sz w:val="16"/>
          <w:szCs w:val="16"/>
          <w:b w:val="1"/>
          <w:bCs w:val="1"/>
          <w:color w:val="auto"/>
        </w:rPr>
      </w:pPr>
    </w:p>
    <w:p>
      <w:pPr>
        <w:ind w:right="1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authority. Evidence of payment thereof by the Company shall be forwarded by the Company to the Depositary upon request. The Depositary or the Custodian, as the case may be, will forward to the Company or its agent such information from its records as the Company may reasonably request to enable the Company or its agents to file necessary reports with governmental authorities.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9" w:name="page70"/>
    <w:bookmarkEnd w:id="69"/>
    <w:p>
      <w:pPr>
        <w:ind w:firstLine="810"/>
        <w:spacing w:after="0" w:line="285" w:lineRule="auto"/>
        <w:rPr>
          <w:sz w:val="20"/>
          <w:szCs w:val="20"/>
          <w:color w:val="auto"/>
        </w:rPr>
      </w:pPr>
      <w:r>
        <w:rPr>
          <w:rFonts w:ascii="Arial" w:cs="Arial" w:eastAsia="Arial" w:hAnsi="Arial"/>
          <w:sz w:val="16"/>
          <w:szCs w:val="16"/>
          <w:color w:val="auto"/>
        </w:rPr>
        <w:t>Whenever the Company intends to make a distribution that consists of a dividend in, or free distribution of, Shares, the Company shall give notice thereof to the Depositary at least twenty (20) days (or such other number of days as the Depositary and the Company may from time to time agree to) prior to the proposed distribution, specifying, inter alia, the record date applicable to holders of Deposited Securities entitled to receive such distribution. Upon the timely receipt of such notice from the Company,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 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 ctions and distribute the net proceeds upon the terms described in Section 4.1 of the Deposit Agreement. In the event that the Depositary determines that any distribution in property (including Shares) is subject to any tax or other governmental charges which the Depositary is obligated to withhold, or, if the Company in the fulfillment of its obligation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reasonable fees and charges of, and expenses incurred by, the Depositary) to Holders entitled thereto upon the terms described in Section 4.1 of the Deposit Agreement. The Depositary shall hold and/or distribute any unsold balance of such property in accordance with the provisions of the Deposit Agreement.</w:t>
      </w:r>
    </w:p>
    <w:p>
      <w:pPr>
        <w:spacing w:after="0" w:line="195" w:lineRule="exact"/>
        <w:rPr>
          <w:sz w:val="20"/>
          <w:szCs w:val="20"/>
          <w:color w:val="auto"/>
        </w:rPr>
      </w:pPr>
    </w:p>
    <w:p>
      <w:pPr>
        <w:ind w:firstLine="810"/>
        <w:spacing w:after="0" w:line="285" w:lineRule="auto"/>
        <w:rPr>
          <w:sz w:val="20"/>
          <w:szCs w:val="20"/>
          <w:color w:val="auto"/>
        </w:rPr>
      </w:pPr>
      <w:r>
        <w:rPr>
          <w:rFonts w:ascii="Arial" w:cs="Arial" w:eastAsia="Arial" w:hAnsi="Arial"/>
          <w:sz w:val="16"/>
          <w:szCs w:val="16"/>
          <w:color w:val="auto"/>
        </w:rPr>
        <w:t>Whenever the Company intends to make a distribution payable at the election of the holders of Shares in cash or in additional Shares, the Company shall give notice thereof to the Depositary at least forty-five (45) days (or such other number of days as the Depositary and the Company may from time to time agree to) prior to the proposed distribution specifying, inter alia,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 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not satisfied, the Depositary shall establish an ADS Record Date on the terms described in Section 4.9 of the Deposit Agreement and, to the extent permitted by law, distribute to the Holders, on the basis of the same determination as is made in the Cayman Islands in respect of the Shares for which no election is made, either (X) cash upon the terms described in Section 4.1 of the Deposit Agreement or (Y) additional ADSs representing suc h additional Shares upon the terms described in Section 4.2 of the Deposit Agreement. If the above conditions are satisfied, the Depositary shall establish an ADS Record Date on the terms described in Section 4.9 of the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Deposit Agreement, or (Y) in ADSs, the distribution shall be made upon the terms described in Section 4.2 of the Deposit Agreement. Nothing herein shall obligate the Depositary to make available to Holders a method to receive the elective distribution in Shares (rather than ADSs). There can be no assurance that Holders generally, or any Holder in particular, w ill be given the opportunity to receive elective distributions on the same terms and conditions as the holders of Shares.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0" w:name="page71"/>
    <w:bookmarkEnd w:id="70"/>
    <w:p>
      <w:pPr>
        <w:ind w:firstLine="810"/>
        <w:spacing w:after="0" w:line="268" w:lineRule="auto"/>
        <w:rPr>
          <w:sz w:val="20"/>
          <w:szCs w:val="20"/>
          <w:color w:val="auto"/>
        </w:rPr>
      </w:pPr>
      <w:r>
        <w:rPr>
          <w:rFonts w:ascii="Arial" w:cs="Arial" w:eastAsia="Arial" w:hAnsi="Arial"/>
          <w:sz w:val="17"/>
          <w:szCs w:val="17"/>
          <w:color w:val="auto"/>
        </w:rPr>
        <w:t>Whenever the Company intends to distribute to the holders of the Deposited Securities rights to subscribe for additional Shares, the Company shall give notice thereof to the Depositary at least forty-five (45) days (or such other number of days as the Depositary and the Company may from time to time agree to) prior to the proposed distribution specifying, inter alia,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of the Deposit Agreement. In the event all conditions set forth above are satisfied, the Depositary shall establish an ADS Record Date (upon the terms described in Section 4.9 of the Deposit Agreement) and establish procedures to (x) distribute rights to purchase additional ADSs (by means of warr ants or otherwise), (y) to enable the Holders to exercise such rights (upon payment of the subscription price and of the applicable (a) fees and charges of, and expenses incurred by, the Depositary and (b) taxes), and (z) to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71" w:name="page72"/>
    <w:bookmarkEnd w:id="71"/>
    <w:p>
      <w:pPr>
        <w:ind w:right="120" w:firstLine="810"/>
        <w:spacing w:after="0" w:line="291" w:lineRule="auto"/>
        <w:rPr>
          <w:sz w:val="20"/>
          <w:szCs w:val="20"/>
          <w:color w:val="auto"/>
        </w:rPr>
      </w:pPr>
      <w:r>
        <w:rPr>
          <w:rFonts w:ascii="Arial" w:cs="Arial" w:eastAsia="Arial" w:hAnsi="Arial"/>
          <w:sz w:val="16"/>
          <w:szCs w:val="16"/>
          <w:color w:val="auto"/>
        </w:rPr>
        <w:t>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 h sale, convert and distribute proceeds of such sale (net of applicable (a) fees and charges of, and expenses incurred by, the Depositary and (b) taxes) upon the terms set forth in Section 4.1 of the Deposit Agreement.</w:t>
      </w:r>
    </w:p>
    <w:p>
      <w:pPr>
        <w:spacing w:after="0" w:line="194" w:lineRule="exact"/>
        <w:rPr>
          <w:sz w:val="20"/>
          <w:szCs w:val="20"/>
          <w:color w:val="auto"/>
        </w:rPr>
      </w:pPr>
    </w:p>
    <w:p>
      <w:pPr>
        <w:ind w:right="440" w:firstLine="810"/>
        <w:spacing w:after="0" w:line="342" w:lineRule="auto"/>
        <w:rPr>
          <w:sz w:val="20"/>
          <w:szCs w:val="20"/>
          <w:color w:val="auto"/>
        </w:rPr>
      </w:pPr>
      <w:r>
        <w:rPr>
          <w:rFonts w:ascii="Arial" w:cs="Arial" w:eastAsia="Arial" w:hAnsi="Arial"/>
          <w:sz w:val="16"/>
          <w:szCs w:val="16"/>
          <w:color w:val="auto"/>
        </w:rPr>
        <w:t>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w:t>
      </w:r>
    </w:p>
    <w:p>
      <w:pPr>
        <w:spacing w:after="0" w:line="151"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08"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color w:val="auto"/>
        </w:rPr>
        <w:t>Notwithstanding anything to the contrary in Section 4.4 of the Deposit Agreement,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 f such securities to Holders and Beneficial Owners are exempt from, or do not require registration under, the provisions of the Securities Act or any other applicable laws. A liquid market for rights may not exist, and this may adversely affect (1) the ability of the Depositary to dispose of such rights or (2) the amount the Depositary would realize upon disposal of rights.</w:t>
      </w:r>
    </w:p>
    <w:p>
      <w:pPr>
        <w:spacing w:after="0" w:line="193" w:lineRule="exact"/>
        <w:rPr>
          <w:sz w:val="20"/>
          <w:szCs w:val="20"/>
          <w:color w:val="auto"/>
        </w:rPr>
      </w:pPr>
    </w:p>
    <w:p>
      <w:pPr>
        <w:ind w:right="60" w:firstLine="810"/>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property (including rights) an amount on account of taxes or other governmental charges, the amount distributed to the Holders of ADSs representing such Deposited Securities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or charg 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2" w:name="page73"/>
    <w:bookmarkEnd w:id="72"/>
    <w:p>
      <w:pPr>
        <w:ind w:right="300" w:firstLine="810"/>
        <w:spacing w:after="0" w:line="28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93"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Deposit Agreement, and (iii) the Depositary shall have determined that such distribution is reasonably practicable.</w:t>
      </w:r>
    </w:p>
    <w:p>
      <w:pPr>
        <w:spacing w:after="0" w:line="216"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w:t>
      </w:r>
    </w:p>
    <w:p>
      <w:pPr>
        <w:ind w:right="20" w:firstLine="8"/>
        <w:spacing w:after="0" w:line="254" w:lineRule="auto"/>
        <w:tabs>
          <w:tab w:leader="none" w:pos="2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 s (including applicable interest and penalties) or other governmental charges applicable to the distribution.</w:t>
      </w:r>
    </w:p>
    <w:p>
      <w:pPr>
        <w:spacing w:after="0" w:line="217" w:lineRule="exact"/>
        <w:rPr>
          <w:sz w:val="20"/>
          <w:szCs w:val="20"/>
          <w:color w:val="auto"/>
        </w:rPr>
      </w:pPr>
    </w:p>
    <w:p>
      <w:pPr>
        <w:ind w:right="20" w:firstLine="810"/>
        <w:spacing w:after="0" w:line="285" w:lineRule="auto"/>
        <w:rPr>
          <w:sz w:val="20"/>
          <w:szCs w:val="20"/>
          <w:color w:val="auto"/>
        </w:rPr>
      </w:pPr>
      <w:r>
        <w:rPr>
          <w:rFonts w:ascii="Arial" w:cs="Arial" w:eastAsia="Arial" w:hAnsi="Arial"/>
          <w:sz w:val="16"/>
          <w:szCs w:val="16"/>
          <w:color w:val="auto"/>
        </w:rPr>
        <w:t>If (i) the Company does not request the Depositary to make such distribution to Holders or requests not to make such distribution to Holders, (ii) the Depositary does not receive satisfactory documentation within the terms of Section 5.7 of the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w:t>
      </w:r>
    </w:p>
    <w:p>
      <w:pPr>
        <w:spacing w:after="0" w:line="2" w:lineRule="exact"/>
        <w:rPr>
          <w:sz w:val="20"/>
          <w:szCs w:val="20"/>
          <w:color w:val="auto"/>
        </w:rPr>
      </w:pPr>
    </w:p>
    <w:p>
      <w:pPr>
        <w:ind w:right="280" w:firstLine="8"/>
        <w:spacing w:after="0" w:line="323" w:lineRule="auto"/>
        <w:tabs>
          <w:tab w:leader="none" w:pos="2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taxes) to the Holders as of the ADS Record Date upon the ter ms of Section 4.1 of the Deposit Agreement. If the Depositary is unable to sell such property, the Depositary may dispose of such property for the account of the Holders in any way it deems reasonably practicable under the circumstances.</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73" w:name="page74"/>
    <w:bookmarkEnd w:id="73"/>
    <w:p>
      <w:pPr>
        <w:ind w:left="-20" w:firstLine="656"/>
        <w:spacing w:after="0" w:line="286" w:lineRule="auto"/>
        <w:tabs>
          <w:tab w:leader="none" w:pos="1423"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intends to exercise any right of redemption in respect of any of the Deposited Securities,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give notice thereof to the Depositary at least forty-five (45) days (or such other number of days as the Depositary and the Company may from time to time agree to) prior to the intended date of redemption which notice shall set forth the particulars of the proposed redemption. Upon timely receipt of (i) such notice and (ii) satisfactory documentation given by the Company to the Depositary wit hin the terms of Section 5.7 of the Deposit Agreement,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expenses incurred by, the Depositary, and (b) taxes), retire ADSs and cancel ADRs, if applicable, upon delivery of such ADSs by Holders thereof upon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to the other terms and conditions of the Deposit Agreement and the applicable fees and charges of, and expenses incurred by, the Depositary, and taxes) multiplied by the number of Deposited Securities represented by each ADS redeemed.</w:t>
      </w:r>
    </w:p>
    <w:p>
      <w:pPr>
        <w:spacing w:after="0" w:line="195" w:lineRule="exact"/>
        <w:rPr>
          <w:rFonts w:ascii="Arial" w:cs="Arial" w:eastAsia="Arial" w:hAnsi="Arial"/>
          <w:sz w:val="16"/>
          <w:szCs w:val="16"/>
          <w:b w:val="1"/>
          <w:bCs w:val="1"/>
          <w:color w:val="auto"/>
        </w:rPr>
      </w:pPr>
    </w:p>
    <w:p>
      <w:pPr>
        <w:ind w:left="-20" w:right="20" w:firstLine="656"/>
        <w:spacing w:after="0" w:line="269" w:lineRule="auto"/>
        <w:tabs>
          <w:tab w:leader="none" w:pos="1423"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Fixing of ADS Record Date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shall receive notice of the fixing of a record date by the Company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 or whenever the Depositary shall find it necessary or convenient in connection with the giving of any notice, solicitation of any consent or any other matter, the Depositary shall fix a record date (“</w:t>
      </w:r>
      <w:r>
        <w:rPr>
          <w:rFonts w:ascii="Arial" w:cs="Arial" w:eastAsia="Arial" w:hAnsi="Arial"/>
          <w:sz w:val="17"/>
          <w:szCs w:val="17"/>
          <w:u w:val="single" w:color="auto"/>
          <w:color w:val="auto"/>
        </w:rPr>
        <w:t>ADS Record</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the Cayman Islands. Subject to applicable law and the terms and conditions of this ADR and Sections 4.1 through 4.8 and to the ter ms and conditions of the Deposit Agreement, only the Holders of ADSs at the close of business in New York on such ADS Record Date shall be entitled to receive such distributions, to give such instructions, to receive such notice or solicitation, or otherwise take action.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74" w:name="page75"/>
    <w:bookmarkEnd w:id="74"/>
    <w:p>
      <w:pPr>
        <w:ind w:right="80" w:firstLine="656"/>
        <w:spacing w:after="0" w:line="287" w:lineRule="auto"/>
        <w:tabs>
          <w:tab w:leader="none" w:pos="1443"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Voting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receipt of notice of any meeting at which the holders of Deposited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to the Depositary or in which voti ng instructions may be deemed to have been given in accordance with Section 4.10 of the Deposit Agreement if no instructions are received prior to the deadline set for such purposes to the Depositary to give a discretionary proxy to a person designated by the Company.</w:t>
      </w:r>
    </w:p>
    <w:p>
      <w:pPr>
        <w:spacing w:after="0" w:line="200"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 to Holders, instructions on how to retrieve such materials or receive such materials upon request (i.e., by reference to a website containing the materials for retrieval or a contact for requesting copies of the materials).</w:t>
      </w:r>
    </w:p>
    <w:p>
      <w:pPr>
        <w:spacing w:after="0" w:line="215"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The Depositary has been advised by the Company that under the Cayman Islands law as in effect as of the date of the Deposit Agreement, voting at any meeting of shareholders is by show of hands unless a poll is demanded. The Depositary will not join in demanding a poll, whether or not requested to do so by Holders of ADSs. Under the Articles of Association of the Company (as in effect on the date of the Deposit Agreement) a poll may be demanded by one or more shareholders present in person or by proxy entitled to vote and who together hold not less than 10 percent of the paid up voting share capital of the Company.</w:t>
      </w:r>
    </w:p>
    <w:p>
      <w:pPr>
        <w:spacing w:after="0" w:line="215"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(i) in the event voting takes place at a shareholders’ meeting by show of hands, the Depositary will instruct the Custodian to vote all Deposited Securities in accordance with the voting instructio ns received from a majority of Holders of ADSs who provided voting instructions and (ii) in the event voting takes place at a shareholders’ meeting by poll, the Depositary will instruct the Custodian to vote the Deposited Securities in accordance with the voting instructions received from the Holders of ADSs. If the Depositary does not receive instructions from a Holder as of the ADS Record Date on or before the date established by the Depositary for such purpose and voting is by poll, such Holder shall be deemed, and the Depositary shall (unless otherwise specified in the notice distributed to Holders)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 ven, (B) substantial opposition exists, or (C) the rights of holders of Deposited Securities may be materially adversely affected.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75" w:name="page76"/>
    <w:bookmarkEnd w:id="75"/>
    <w:p>
      <w:pPr>
        <w:ind w:firstLine="810"/>
        <w:spacing w:after="0" w:line="269" w:lineRule="auto"/>
        <w:rPr>
          <w:sz w:val="20"/>
          <w:szCs w:val="20"/>
          <w:color w:val="auto"/>
        </w:rPr>
      </w:pPr>
      <w:r>
        <w:rPr>
          <w:rFonts w:ascii="Arial" w:cs="Arial" w:eastAsia="Arial" w:hAnsi="Arial"/>
          <w:sz w:val="17"/>
          <w:szCs w:val="17"/>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 h in such voting instructions. Deposited Securities represented by ADSs for which no timely voting instructions are received by the Depositary from the Holder shall not be voted (except (i) in the case voting at the shareholders meeting is by show of hands, in which case the Depositary will instruct the Custodian to vote all Deposited Securities in accordance with the voting instructions received from a majority of Holders of ADSs who provided voting instructions and (ii) as contemplated in Section 4.10 of the Deposit Agreement).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207"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Cayman Islands law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215"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6" w:name="page77"/>
    <w:bookmarkEnd w:id="76"/>
    <w:p>
      <w:pPr>
        <w:ind w:left="-20" w:right="20" w:firstLine="656"/>
        <w:spacing w:after="0" w:line="285" w:lineRule="auto"/>
        <w:tabs>
          <w:tab w:leader="none" w:pos="1423"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of Deposited Securities, or upon any recapitalization, reorganization, merger, consolidation or sale of assets affecting the Company or to which it is a party, any securities which shall be received by the Depositary or the Custodian in exchange for, or in conversion of or replacement of or otherwise in respect of, such Deposited Securities shall, to the extent permitted by law, be treated as new Deposited Securities under the Deposit Agreement, and the ADRs shall, subject to the provisions of the Deposit Agreement and applicable law, evidence ADSs representing the right to receive such additional or replacement securities, as applicable.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 spect of the ADSs, (iv) call for the surrender of outstanding ADRs to be exchanged for new ADRs, and (v) take such other actions as are appropriate to reflect the transaction with respect to the ADSs. The Company agrees to, jointly with the Depositary, amend the Registration Statement or Form F-6 as filed with the Commission to permit the issuance of such new form of ADRs. Notwithstanding the foregoing, in the event that any security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securities at public or private sale, at such place or places and upon such terms as it may deem proper and may allocate the net proceeds of such sales (net of (a) reasonable fees and charges of, and expenses incurred by, the Depositary and (b) taxes) for the account of the Holders otherwise entitled to such securities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feasible to make such securities available to Holders in general or any Holder in particular, (ii) any foreign exchange exposure or loss incurred in connection with such sale, or (iii) any liability to the purchaser of such securities.</w:t>
      </w:r>
    </w:p>
    <w:p>
      <w:pPr>
        <w:spacing w:after="0" w:line="192" w:lineRule="exact"/>
        <w:rPr>
          <w:rFonts w:ascii="Arial" w:cs="Arial" w:eastAsia="Arial" w:hAnsi="Arial"/>
          <w:sz w:val="16"/>
          <w:szCs w:val="16"/>
          <w:b w:val="1"/>
          <w:bCs w:val="1"/>
          <w:color w:val="auto"/>
        </w:rPr>
      </w:pPr>
    </w:p>
    <w:p>
      <w:pPr>
        <w:ind w:left="-20" w:firstLine="656"/>
        <w:spacing w:after="0" w:line="286" w:lineRule="auto"/>
        <w:tabs>
          <w:tab w:leader="none" w:pos="1423"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Depositary nor the Company shall be obligated to do or perform any act which is inconsistent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Deposit Agreement or incur any liability (i) if the Depositary or the Company shall be prevented or forbidden from, or delayed in, doing or performing any act or thing required by the terms of the Deposit Agreement and this ADR, by reason of any provision of any present or future law or regulation of the United States, the Cayman Islands or any other country, or of any other governmental author ity or regulatory authority or stock exchange, or on account of the possible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 No disclaimer of liability under the Securities Act is intended by any provision of the Deposit Agreement or this ADR.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77" w:name="page78"/>
    <w:bookmarkEnd w:id="77"/>
    <w:p>
      <w:pPr>
        <w:ind w:left="-20" w:firstLine="656"/>
        <w:spacing w:after="0" w:line="268" w:lineRule="auto"/>
        <w:tabs>
          <w:tab w:leader="none" w:pos="1423"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Standard of Care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the Depositary assume no obligation and shall not be subject to any liability under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this ADR to any Holder(s) or Beneficial Owner(s), except that the Company and Depositary agree to perform their respective obligations specifically set forth in the Deposit Agreement and this ADR without negligence or bad faith. Without limitation of the foregoing, neither the Depositary, nor the Company, nor any of their respective controlling persons, or agents, shall be under any ob ligation to appear in, prosecute or defend any action, suit or other proceeding in respect of any Deposited Securities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 The Depositary and its agents shall not be liable for any failure to carry out any instructions to vote any of the Deposited Securities, or for the manner in which any vote is cast or the effect of any vote, provided that any such action or omission is in good faith and in accordance with the terms of the Deposit Agreement. The Depositary shall not incur any liability for any failure to determine that any distribution or action may be lawful or reasonably practicable, fo 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the Deposit Agreement, for the failure or timeliness of any notice from the Company, or for any action or failure to act by, or any information provided or not provided by, DTC or any DTC participant.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78" w:name="page79"/>
    <w:bookmarkEnd w:id="78"/>
    <w:p>
      <w:pPr>
        <w:ind w:left="-8" w:right="60" w:firstLine="656"/>
        <w:spacing w:after="0" w:line="286" w:lineRule="auto"/>
        <w:tabs>
          <w:tab w:leader="none" w:pos="1435" w:val="left"/>
        </w:tabs>
        <w:numPr>
          <w:ilvl w:val="1"/>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Resignation and Removal of the Depositary; Appointment of Successor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may at any time resign as</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w:t>
      </w:r>
    </w:p>
    <w:p>
      <w:pPr>
        <w:spacing w:after="0" w:line="2" w:lineRule="exact"/>
        <w:rPr>
          <w:rFonts w:ascii="Arial" w:cs="Arial" w:eastAsia="Arial" w:hAnsi="Arial"/>
          <w:sz w:val="16"/>
          <w:szCs w:val="16"/>
          <w:b w:val="1"/>
          <w:bCs w:val="1"/>
          <w:color w:val="auto"/>
        </w:rPr>
      </w:pPr>
    </w:p>
    <w:p>
      <w:pPr>
        <w:ind w:left="-8" w:firstLine="8"/>
        <w:spacing w:after="0" w:line="285" w:lineRule="auto"/>
        <w:tabs>
          <w:tab w:leader="none" w:pos="207"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 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right, title and interest to the Deposited Securities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corporation into or w ith which the Depositary may be merged or consolidated shall be the successor of the Depositary without the execution or filing of any document or any further act.</w:t>
      </w:r>
    </w:p>
    <w:p>
      <w:pPr>
        <w:spacing w:after="0" w:line="193" w:lineRule="exact"/>
        <w:rPr>
          <w:rFonts w:ascii="Arial" w:cs="Arial" w:eastAsia="Arial" w:hAnsi="Arial"/>
          <w:sz w:val="16"/>
          <w:szCs w:val="16"/>
          <w:color w:val="auto"/>
        </w:rPr>
      </w:pPr>
    </w:p>
    <w:p>
      <w:pPr>
        <w:ind w:left="-8" w:firstLine="656"/>
        <w:spacing w:after="0" w:line="285" w:lineRule="auto"/>
        <w:tabs>
          <w:tab w:leader="none" w:pos="1435" w:val="left"/>
        </w:tabs>
        <w:numPr>
          <w:ilvl w:val="1"/>
          <w:numId w:val="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paragraph 22, and Section 6.1 of the Deposit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 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 endment (</w:t>
      </w:r>
      <w:r>
        <w:rPr>
          <w:rFonts w:ascii="Arial" w:cs="Arial" w:eastAsia="Arial" w:hAnsi="Arial"/>
          <w:sz w:val="16"/>
          <w:szCs w:val="16"/>
          <w:i w:val="1"/>
          <w:iCs w:val="1"/>
          <w:color w:val="auto"/>
        </w:rPr>
        <w:t>i.e.</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60;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00" w:lineRule="exact"/>
        <w:rPr>
          <w:sz w:val="20"/>
          <w:szCs w:val="20"/>
          <w:color w:val="auto"/>
        </w:rPr>
      </w:pPr>
    </w:p>
    <w:p>
      <w:pPr>
        <w:spacing w:after="0" w:line="3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3" w:right="259" w:bottom="1440" w:gutter="0" w:footer="0" w:header="0"/>
        </w:sectPr>
      </w:pPr>
    </w:p>
    <w:bookmarkStart w:id="79" w:name="page80"/>
    <w:bookmarkEnd w:id="79"/>
    <w:p>
      <w:pPr>
        <w:ind w:left="-20" w:firstLine="656"/>
        <w:spacing w:after="0" w:line="284" w:lineRule="auto"/>
        <w:tabs>
          <w:tab w:leader="none" w:pos="1423"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 distributing</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securities and other property received in respect of Deposited Securities, (iii) deliver Deposited Securities, together with any dividends or other distributions received with respect thereto and the net proceeds of the sale of any securities or other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Securities then held under the Deposit Agreement and shall after such sale hold un-invested the net proceeds of such sale, together with any other cash then held by it under the Deposit Agreement, in an un-segregated account and without liability for interest, for the pro -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 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3" w:right="259" w:bottom="1440" w:gutter="0" w:footer="0" w:header="0"/>
        </w:sectPr>
      </w:pPr>
    </w:p>
    <w:bookmarkStart w:id="80" w:name="page81"/>
    <w:bookmarkEnd w:id="80"/>
    <w:p>
      <w:pPr>
        <w:ind w:left="-20" w:right="140" w:firstLine="656"/>
        <w:spacing w:after="0" w:line="289" w:lineRule="auto"/>
        <w:tabs>
          <w:tab w:leader="none" w:pos="1423"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U.S. Securities Laws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provisions in this ADR or the Deposit Agreement to the contrary, the</w:t>
      </w:r>
      <w:r>
        <w:rPr>
          <w:rFonts w:ascii="Arial" w:cs="Arial" w:eastAsia="Arial" w:hAnsi="Arial"/>
          <w:sz w:val="17"/>
          <w:szCs w:val="17"/>
          <w:b w:val="1"/>
          <w:bCs w:val="1"/>
          <w:color w:val="auto"/>
        </w:rPr>
        <w:t xml:space="preserve"> </w:t>
      </w:r>
      <w:r>
        <w:rPr>
          <w:rFonts w:ascii="Arial" w:cs="Arial" w:eastAsia="Arial" w:hAnsi="Arial"/>
          <w:sz w:val="17"/>
          <w:szCs w:val="17"/>
          <w:color w:val="auto"/>
        </w:rPr>
        <w:t>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85" w:lineRule="exact"/>
        <w:rPr>
          <w:rFonts w:ascii="Arial" w:cs="Arial" w:eastAsia="Arial" w:hAnsi="Arial"/>
          <w:sz w:val="17"/>
          <w:szCs w:val="17"/>
          <w:b w:val="1"/>
          <w:bCs w:val="1"/>
          <w:color w:val="auto"/>
        </w:rPr>
      </w:pPr>
    </w:p>
    <w:p>
      <w:pPr>
        <w:ind w:left="-20" w:firstLine="656"/>
        <w:spacing w:after="0" w:line="285" w:lineRule="auto"/>
        <w:tabs>
          <w:tab w:leader="none" w:pos="1423"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Certain Rights of the Depositary;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further terms and provisions of this paragraph (25) and Section 5.10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Deposit Agreement, the Depositary, its Affiliates and their agents, on their own behalf, may own and deal in any class of securities of the Company and its Affiliates and in ADSs. In its capacity as Depositary, the Depositary shall not lend Shares or ADSs;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 ever</w:t>
      </w:r>
      <w:r>
        <w:rPr>
          <w:rFonts w:ascii="Arial" w:cs="Arial" w:eastAsia="Arial" w:hAnsi="Arial"/>
          <w:sz w:val="16"/>
          <w:szCs w:val="16"/>
          <w:color w:val="auto"/>
        </w:rPr>
        <w:t>, that the Depositary may (i) issue ADSs prior to the receipt of Shares pursuant to Section 2.3 of the Deposit Agreement and (ii) deliver Shares prior to the receipt of ADSs for withdrawal of Deposited Securities pursuant to Section 2.7 of the Deposit Agreement, including ADSs which were issued under (i) above but for which Shares may not have been received (each such transaction a “</w:t>
      </w:r>
      <w:r>
        <w:rPr>
          <w:rFonts w:ascii="Arial" w:cs="Arial" w:eastAsia="Arial" w:hAnsi="Arial"/>
          <w:sz w:val="16"/>
          <w:szCs w:val="16"/>
          <w:u w:val="single" w:color="auto"/>
          <w:color w:val="auto"/>
        </w:rPr>
        <w:t>Pre-Release Transaction</w:t>
      </w:r>
      <w:r>
        <w:rPr>
          <w:rFonts w:ascii="Arial" w:cs="Arial" w:eastAsia="Arial" w:hAnsi="Arial"/>
          <w:sz w:val="16"/>
          <w:szCs w:val="16"/>
          <w:color w:val="auto"/>
        </w:rPr>
        <w:t>”). The Depositary may receive ADSs in lieu of Shares under (i) above and receive Shares in lieu of ADSs under (ii) above. Each such Pre-Release Transaction will be (a) subject to a written agreement whereby the person or entity (the “</w:t>
      </w:r>
      <w:r>
        <w:rPr>
          <w:rFonts w:ascii="Arial" w:cs="Arial" w:eastAsia="Arial" w:hAnsi="Arial"/>
          <w:sz w:val="16"/>
          <w:szCs w:val="16"/>
          <w:u w:val="single" w:color="auto"/>
          <w:color w:val="auto"/>
        </w:rPr>
        <w:t>Applicant</w:t>
      </w:r>
      <w:r>
        <w:rPr>
          <w:rFonts w:ascii="Arial" w:cs="Arial" w:eastAsia="Arial" w:hAnsi="Arial"/>
          <w:sz w:val="16"/>
          <w:szCs w:val="16"/>
          <w:color w:val="auto"/>
        </w:rPr>
        <w:t xml:space="preserve">”) to whom ADSs or Shares are to be delivered (w) represents that at the time of the Pre-Release Transaction the Applicant or its customer owns the Shares or ADSs that are to be deliv ered by the Applicant under such Pre-Release Transaction, (x) agrees to indicate the Depositary as owner of such Shares or ADSs in its records and to hold such Shares or ADSs in trust for the Depositary until such Shares or ADSs are delivered to the Depositary or the Custodian, (y) unconditionally guarantees to deliver to the Depositary or the Custodian, as applicable, such Shares or ADSs and (z) agrees to any additional restrictions or requirements that the Depositary deems appropriate, (b) at all times fully collateralized with cash, U.S. government securities or such other collateral as the Depositary deems appropriate, (c) terminable by the Depositary on not more than five (5) business days’ notice and (d) subject to such further indemnities and credit regulations as the Depositary deems appropriate. The Depositary will normally limit the number of ADSs and Shares involved in such Pre-Release Transactions at any one time to thirty percent (30%) of the ADSs outstanding (without giving eff ect to ADSs outstanding under (i)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Depositary reserves the right to change or disregard such limit from time to time as it deems appropriate. The Depositary may also set limits with respect to the number of ADSs and Shares involved in Pre-Release Transactions with any one person on a case by case basis as it deems appropriate. The Depositary may retain for its own account any compensation received by it in conjunction with the foregoing. Collateral provided pursuant to (b) above, but not earnings thereon, shall be held for the benefit of the Holders (other than the Applicant).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3" w:right="259" w:bottom="1440" w:gutter="0" w:footer="0" w:header="0"/>
        </w:sectPr>
      </w:pPr>
    </w:p>
    <w:bookmarkStart w:id="81" w:name="page82"/>
    <w:bookmarkEnd w:id="81"/>
    <w:p>
      <w:pPr>
        <w:jc w:val="center"/>
        <w:ind w:right="-59"/>
        <w:spacing w:after="0"/>
        <w:rPr>
          <w:sz w:val="20"/>
          <w:szCs w:val="20"/>
          <w:color w:val="auto"/>
        </w:rPr>
      </w:pPr>
      <w:r>
        <w:rPr>
          <w:rFonts w:ascii="Arial" w:cs="Arial" w:eastAsia="Arial" w:hAnsi="Arial"/>
          <w:sz w:val="18"/>
          <w:szCs w:val="18"/>
          <w:b w:val="1"/>
          <w:bCs w:val="1"/>
          <w:color w:val="auto"/>
        </w:rPr>
        <w:t>(ASSIGNMENT AND TRANSFER SIGNATURE LINES)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FOR VALUE RECEIVED, the undersigned Holder hereby sell(s), assign(s) and transfer(s) unto ______________________________ whose taxpayer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number is _______________________ and whose address including postal zip code is ________________, the within ADS and all rights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thereunder, hereby irrevocably constituting and appointing ________________________ attorney-in-fact to transfer said ADS on the books of the Depositary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full power of substitution in the premises.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Dated:</w:t>
            </w:r>
          </w:p>
        </w:tc>
        <w:tc>
          <w:tcPr>
            <w:tcW w:w="6660" w:type="dxa"/>
            <w:vAlign w:val="bottom"/>
            <w:gridSpan w:val="2"/>
          </w:tcPr>
          <w:p>
            <w:pPr>
              <w:ind w:left="122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02"/>
        </w:trPr>
        <w:tc>
          <w:tcPr>
            <w:tcW w:w="3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3560" w:type="dxa"/>
            <w:vAlign w:val="bottom"/>
          </w:tcPr>
          <w:p>
            <w:pPr>
              <w:spacing w:after="0"/>
              <w:rPr>
                <w:sz w:val="24"/>
                <w:szCs w:val="24"/>
                <w:color w:val="auto"/>
              </w:rPr>
            </w:pPr>
          </w:p>
        </w:tc>
        <w:tc>
          <w:tcPr>
            <w:tcW w:w="6660" w:type="dxa"/>
            <w:vAlign w:val="bottom"/>
            <w:gridSpan w:val="2"/>
          </w:tcPr>
          <w:p>
            <w:pPr>
              <w:ind w:left="1220"/>
              <w:spacing w:after="0"/>
              <w:rPr>
                <w:sz w:val="20"/>
                <w:szCs w:val="20"/>
                <w:color w:val="auto"/>
              </w:rPr>
            </w:pPr>
            <w:r>
              <w:rPr>
                <w:rFonts w:ascii="Arial" w:cs="Arial" w:eastAsia="Arial" w:hAnsi="Arial"/>
                <w:sz w:val="18"/>
                <w:szCs w:val="18"/>
                <w:color w:val="auto"/>
                <w:w w:val="92"/>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6660" w:type="dxa"/>
            <w:vAlign w:val="bottom"/>
            <w:gridSpan w:val="2"/>
          </w:tcPr>
          <w:p>
            <w:pPr>
              <w:ind w:left="1220"/>
              <w:spacing w:after="0"/>
              <w:rPr>
                <w:sz w:val="20"/>
                <w:szCs w:val="20"/>
                <w:color w:val="auto"/>
              </w:rPr>
            </w:pPr>
            <w:r>
              <w:rPr>
                <w:rFonts w:ascii="Arial" w:cs="Arial" w:eastAsia="Arial" w:hAnsi="Arial"/>
                <w:sz w:val="18"/>
                <w:szCs w:val="18"/>
                <w:color w:val="auto"/>
                <w:w w:val="95"/>
              </w:rPr>
              <w:t>with the name as written upon the face of the within instrument in every</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6660" w:type="dxa"/>
            <w:vAlign w:val="bottom"/>
            <w:gridSpan w:val="2"/>
          </w:tcPr>
          <w:p>
            <w:pPr>
              <w:ind w:left="1220"/>
              <w:spacing w:after="0"/>
              <w:rPr>
                <w:sz w:val="20"/>
                <w:szCs w:val="20"/>
                <w:color w:val="auto"/>
              </w:rPr>
            </w:pPr>
            <w:r>
              <w:rPr>
                <w:rFonts w:ascii="Arial" w:cs="Arial" w:eastAsia="Arial" w:hAnsi="Arial"/>
                <w:sz w:val="18"/>
                <w:szCs w:val="18"/>
                <w:color w:val="auto"/>
                <w:w w:val="95"/>
              </w:rPr>
              <w:t>particular, without alteration or enlargement or any change whatsoever.</w:t>
            </w:r>
          </w:p>
        </w:tc>
        <w:tc>
          <w:tcPr>
            <w:tcW w:w="0" w:type="dxa"/>
            <w:vAlign w:val="bottom"/>
          </w:tcPr>
          <w:p>
            <w:pPr>
              <w:spacing w:after="0"/>
              <w:rPr>
                <w:sz w:val="1"/>
                <w:szCs w:val="1"/>
                <w:color w:val="auto"/>
              </w:rPr>
            </w:pPr>
          </w:p>
        </w:tc>
      </w:tr>
      <w:tr>
        <w:trPr>
          <w:trHeight w:val="418"/>
        </w:trPr>
        <w:tc>
          <w:tcPr>
            <w:tcW w:w="3560" w:type="dxa"/>
            <w:vAlign w:val="bottom"/>
          </w:tcPr>
          <w:p>
            <w:pPr>
              <w:spacing w:after="0"/>
              <w:rPr>
                <w:sz w:val="24"/>
                <w:szCs w:val="24"/>
                <w:color w:val="auto"/>
              </w:rPr>
            </w:pPr>
          </w:p>
        </w:tc>
        <w:tc>
          <w:tcPr>
            <w:tcW w:w="6660" w:type="dxa"/>
            <w:vAlign w:val="bottom"/>
            <w:gridSpan w:val="2"/>
          </w:tcPr>
          <w:p>
            <w:pPr>
              <w:ind w:left="1220"/>
              <w:spacing w:after="0"/>
              <w:rPr>
                <w:sz w:val="20"/>
                <w:szCs w:val="20"/>
                <w:color w:val="auto"/>
              </w:rPr>
            </w:pPr>
            <w:r>
              <w:rPr>
                <w:rFonts w:ascii="Arial" w:cs="Arial" w:eastAsia="Arial" w:hAnsi="Arial"/>
                <w:sz w:val="18"/>
                <w:szCs w:val="18"/>
                <w:color w:val="auto"/>
                <w:w w:val="95"/>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6660" w:type="dxa"/>
            <w:vAlign w:val="bottom"/>
            <w:gridSpan w:val="2"/>
          </w:tcPr>
          <w:p>
            <w:pPr>
              <w:ind w:left="1220"/>
              <w:spacing w:after="0"/>
              <w:rPr>
                <w:sz w:val="20"/>
                <w:szCs w:val="20"/>
                <w:color w:val="auto"/>
              </w:rPr>
            </w:pPr>
            <w:r>
              <w:rPr>
                <w:rFonts w:ascii="Arial" w:cs="Arial" w:eastAsia="Arial" w:hAnsi="Arial"/>
                <w:sz w:val="18"/>
                <w:szCs w:val="18"/>
                <w:color w:val="auto"/>
                <w:w w:val="98"/>
              </w:rPr>
              <w:t>trustee or guardian, the person executing the endorsement must give</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6660" w:type="dxa"/>
            <w:vAlign w:val="bottom"/>
            <w:gridSpan w:val="2"/>
          </w:tcPr>
          <w:p>
            <w:pPr>
              <w:ind w:left="1220"/>
              <w:spacing w:after="0"/>
              <w:rPr>
                <w:sz w:val="20"/>
                <w:szCs w:val="20"/>
                <w:color w:val="auto"/>
              </w:rPr>
            </w:pPr>
            <w:r>
              <w:rPr>
                <w:rFonts w:ascii="Arial" w:cs="Arial" w:eastAsia="Arial" w:hAnsi="Arial"/>
                <w:sz w:val="18"/>
                <w:szCs w:val="18"/>
                <w:color w:val="auto"/>
                <w:w w:val="93"/>
              </w:rPr>
              <w:t>his/her full title in such capacity and proper evidence of authority to act in</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6660" w:type="dxa"/>
            <w:vAlign w:val="bottom"/>
            <w:gridSpan w:val="2"/>
          </w:tcPr>
          <w:p>
            <w:pPr>
              <w:ind w:left="1220"/>
              <w:spacing w:after="0"/>
              <w:rPr>
                <w:sz w:val="20"/>
                <w:szCs w:val="20"/>
                <w:color w:val="auto"/>
              </w:rPr>
            </w:pPr>
            <w:r>
              <w:rPr>
                <w:rFonts w:ascii="Arial" w:cs="Arial" w:eastAsia="Arial" w:hAnsi="Arial"/>
                <w:sz w:val="18"/>
                <w:szCs w:val="18"/>
                <w:color w:val="auto"/>
                <w:w w:val="95"/>
              </w:rPr>
              <w:t>such capacity, if not on file with the Depositary, must be forwarded with</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6660" w:type="dxa"/>
            <w:vAlign w:val="bottom"/>
            <w:gridSpan w:val="2"/>
          </w:tcPr>
          <w:p>
            <w:pPr>
              <w:ind w:left="1220"/>
              <w:spacing w:after="0"/>
              <w:rPr>
                <w:sz w:val="20"/>
                <w:szCs w:val="20"/>
                <w:color w:val="auto"/>
              </w:rPr>
            </w:pPr>
            <w:r>
              <w:rPr>
                <w:rFonts w:ascii="Arial" w:cs="Arial" w:eastAsia="Arial" w:hAnsi="Arial"/>
                <w:sz w:val="18"/>
                <w:szCs w:val="18"/>
                <w:color w:val="auto"/>
              </w:rPr>
              <w:t>this ADR.</w:t>
            </w:r>
          </w:p>
        </w:tc>
        <w:tc>
          <w:tcPr>
            <w:tcW w:w="0" w:type="dxa"/>
            <w:vAlign w:val="bottom"/>
          </w:tcPr>
          <w:p>
            <w:pPr>
              <w:spacing w:after="0"/>
              <w:rPr>
                <w:sz w:val="1"/>
                <w:szCs w:val="1"/>
                <w:color w:val="auto"/>
              </w:rPr>
            </w:pP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__________________________</w:t>
            </w:r>
          </w:p>
        </w:tc>
        <w:tc>
          <w:tcPr>
            <w:tcW w:w="18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SIGNATURE GUARANTEED</w:t>
            </w:r>
          </w:p>
        </w:tc>
        <w:tc>
          <w:tcPr>
            <w:tcW w:w="6660" w:type="dxa"/>
            <w:vAlign w:val="bottom"/>
            <w:gridSpan w:val="2"/>
            <w:vMerge w:val="restart"/>
          </w:tcPr>
          <w:p>
            <w:pPr>
              <w:ind w:left="1220"/>
              <w:spacing w:after="0"/>
              <w:rPr>
                <w:sz w:val="20"/>
                <w:szCs w:val="20"/>
                <w:color w:val="auto"/>
              </w:rPr>
            </w:pPr>
            <w:r>
              <w:rPr>
                <w:rFonts w:ascii="Arial" w:cs="Arial" w:eastAsia="Arial" w:hAnsi="Arial"/>
                <w:sz w:val="18"/>
                <w:szCs w:val="18"/>
                <w:color w:val="auto"/>
                <w:w w:val="99"/>
              </w:rPr>
              <w:t>All endorsements or assignments of ADRs must be guaranteed by a</w:t>
            </w:r>
          </w:p>
        </w:tc>
        <w:tc>
          <w:tcPr>
            <w:tcW w:w="0" w:type="dxa"/>
            <w:vAlign w:val="bottom"/>
          </w:tcPr>
          <w:p>
            <w:pPr>
              <w:spacing w:after="0"/>
              <w:rPr>
                <w:sz w:val="1"/>
                <w:szCs w:val="1"/>
                <w:color w:val="auto"/>
              </w:rPr>
            </w:pPr>
          </w:p>
        </w:tc>
      </w:tr>
      <w:tr>
        <w:trPr>
          <w:trHeight w:val="202"/>
        </w:trPr>
        <w:tc>
          <w:tcPr>
            <w:tcW w:w="3560" w:type="dxa"/>
            <w:vAlign w:val="bottom"/>
          </w:tcPr>
          <w:p>
            <w:pPr>
              <w:spacing w:after="0"/>
              <w:rPr>
                <w:sz w:val="17"/>
                <w:szCs w:val="17"/>
                <w:color w:val="auto"/>
              </w:rPr>
            </w:pPr>
          </w:p>
        </w:tc>
        <w:tc>
          <w:tcPr>
            <w:tcW w:w="6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6660" w:type="dxa"/>
            <w:vAlign w:val="bottom"/>
            <w:gridSpan w:val="2"/>
          </w:tcPr>
          <w:p>
            <w:pPr>
              <w:ind w:left="1220"/>
              <w:spacing w:after="0"/>
              <w:rPr>
                <w:sz w:val="20"/>
                <w:szCs w:val="20"/>
                <w:color w:val="auto"/>
              </w:rPr>
            </w:pPr>
            <w:r>
              <w:rPr>
                <w:rFonts w:ascii="Arial" w:cs="Arial" w:eastAsia="Arial" w:hAnsi="Arial"/>
                <w:sz w:val="18"/>
                <w:szCs w:val="18"/>
                <w:color w:val="auto"/>
                <w:w w:val="97"/>
              </w:rPr>
              <w:t>member of a Medallion Signature Program approved by the Securities</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6660" w:type="dxa"/>
            <w:vAlign w:val="bottom"/>
            <w:gridSpan w:val="2"/>
          </w:tcPr>
          <w:p>
            <w:pPr>
              <w:ind w:left="1220"/>
              <w:spacing w:after="0"/>
              <w:rPr>
                <w:sz w:val="20"/>
                <w:szCs w:val="20"/>
                <w:color w:val="auto"/>
              </w:rPr>
            </w:pPr>
            <w:r>
              <w:rPr>
                <w:rFonts w:ascii="Arial" w:cs="Arial" w:eastAsia="Arial" w:hAnsi="Arial"/>
                <w:sz w:val="18"/>
                <w:szCs w:val="18"/>
                <w:color w:val="auto"/>
              </w:rPr>
              <w:t>Transfer Association, Inc.</w:t>
            </w:r>
          </w:p>
        </w:tc>
        <w:tc>
          <w:tcPr>
            <w:tcW w:w="0" w:type="dxa"/>
            <w:vAlign w:val="bottom"/>
          </w:tcPr>
          <w:p>
            <w:pPr>
              <w:spacing w:after="0"/>
              <w:rPr>
                <w:sz w:val="1"/>
                <w:szCs w:val="1"/>
                <w:color w:val="auto"/>
              </w:rPr>
            </w:pPr>
          </w:p>
        </w:tc>
      </w:tr>
      <w:tr>
        <w:trPr>
          <w:trHeight w:val="459"/>
        </w:trPr>
        <w:tc>
          <w:tcPr>
            <w:tcW w:w="3560" w:type="dxa"/>
            <w:vAlign w:val="bottom"/>
          </w:tcPr>
          <w:p>
            <w:pPr>
              <w:spacing w:after="0"/>
              <w:rPr>
                <w:sz w:val="24"/>
                <w:szCs w:val="24"/>
                <w:color w:val="auto"/>
              </w:rPr>
            </w:pPr>
          </w:p>
        </w:tc>
        <w:tc>
          <w:tcPr>
            <w:tcW w:w="6660" w:type="dxa"/>
            <w:vAlign w:val="bottom"/>
            <w:gridSpan w:val="2"/>
          </w:tcPr>
          <w:p>
            <w:pPr>
              <w:ind w:left="1840"/>
              <w:spacing w:after="0"/>
              <w:rPr>
                <w:sz w:val="20"/>
                <w:szCs w:val="20"/>
                <w:color w:val="auto"/>
              </w:rPr>
            </w:pPr>
            <w:r>
              <w:rPr>
                <w:rFonts w:ascii="Arial" w:cs="Arial" w:eastAsia="Arial" w:hAnsi="Arial"/>
                <w:sz w:val="18"/>
                <w:szCs w:val="18"/>
                <w:b w:val="1"/>
                <w:bCs w:val="1"/>
                <w:color w:val="auto"/>
              </w:rPr>
              <w:t>Legends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ADRs issued in respect of Partial Entitlement American Depositary Shares shall bear the following legend on the face of the</w:t>
      </w:r>
    </w:p>
    <w:p>
      <w:pPr>
        <w:spacing w:after="0" w:line="27" w:lineRule="exact"/>
        <w:rPr>
          <w:sz w:val="20"/>
          <w:szCs w:val="20"/>
          <w:color w:val="auto"/>
        </w:rPr>
      </w:pPr>
    </w:p>
    <w:p>
      <w:pPr>
        <w:ind w:left="340" w:right="400"/>
        <w:spacing w:after="0" w:line="273" w:lineRule="auto"/>
        <w:rPr>
          <w:sz w:val="20"/>
          <w:szCs w:val="20"/>
          <w:color w:val="auto"/>
        </w:rPr>
      </w:pPr>
      <w:r>
        <w:rPr>
          <w:rFonts w:ascii="Arial" w:cs="Arial" w:eastAsia="Arial" w:hAnsi="Arial"/>
          <w:sz w:val="17"/>
          <w:szCs w:val="17"/>
          <w:b w:val="1"/>
          <w:bCs w:val="1"/>
          <w:color w:val="auto"/>
        </w:rPr>
        <w:t>ADR: “This ADR evidences ADSs representing 'partial entitlement' ordinary shares of Noah Holdings Limited and as such do not entitle the holders thereof to the same per-share entitlement as other ordinary shares (which are 'full entitlement' ordinary shares) issued and outstanding at such time. The ADSs represented by this ADR shall entitle holders to distributions and entitlements identical to other ADSs when the ordinary shares represented by such ADSs become 'full entitlement' ordinary shares.”]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SCHEDULE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DEPOSITARY FEES AND RELATED CHARGES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but not otherwise defined herein shall have the meaning given to such terms in the Deposit Agreement.</w:t>
      </w:r>
    </w:p>
    <w:p>
      <w:pPr>
        <w:spacing w:after="0" w:line="248" w:lineRule="exact"/>
        <w:rPr>
          <w:sz w:val="20"/>
          <w:szCs w:val="20"/>
          <w:color w:val="auto"/>
        </w:rPr>
      </w:pPr>
    </w:p>
    <w:p>
      <w:pPr>
        <w:ind w:left="1300" w:hanging="1292"/>
        <w:spacing w:after="0"/>
        <w:tabs>
          <w:tab w:leader="none" w:pos="1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Depositary Fees</w:t>
      </w:r>
    </w:p>
    <w:p>
      <w:pPr>
        <w:spacing w:after="0" w:line="25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Company, the Holders, the Beneficial Owners and the persons depositing Shares or surrendering ADSs for cancellation agree to pay the following fees of the Depositary:</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060" w:type="dxa"/>
            <w:vAlign w:val="bottom"/>
            <w:tcBorders>
              <w:top w:val="single" w:sz="8" w:color="auto"/>
              <w:left w:val="single" w:sz="8" w:color="auto"/>
            </w:tcBorders>
          </w:tcPr>
          <w:p>
            <w:pPr>
              <w:spacing w:after="0"/>
              <w:rPr>
                <w:sz w:val="24"/>
                <w:szCs w:val="24"/>
                <w:color w:val="auto"/>
              </w:rPr>
            </w:pPr>
          </w:p>
        </w:tc>
        <w:tc>
          <w:tcPr>
            <w:tcW w:w="306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Service</w:t>
            </w:r>
          </w:p>
        </w:tc>
        <w:tc>
          <w:tcPr>
            <w:tcW w:w="3680" w:type="dxa"/>
            <w:vAlign w:val="bottom"/>
            <w:tcBorders>
              <w:top w:val="single" w:sz="8" w:color="auto"/>
              <w:right w:val="single" w:sz="8" w:color="auto"/>
            </w:tcBorders>
          </w:tcPr>
          <w:p>
            <w:pPr>
              <w:ind w:left="1640"/>
              <w:spacing w:after="0"/>
              <w:rPr>
                <w:sz w:val="20"/>
                <w:szCs w:val="20"/>
                <w:color w:val="auto"/>
              </w:rPr>
            </w:pPr>
            <w:r>
              <w:rPr>
                <w:rFonts w:ascii="Arial" w:cs="Arial" w:eastAsia="Arial" w:hAnsi="Arial"/>
                <w:sz w:val="18"/>
                <w:szCs w:val="18"/>
                <w:b w:val="1"/>
                <w:bCs w:val="1"/>
                <w:color w:val="auto"/>
              </w:rPr>
              <w:t>Rate</w:t>
            </w:r>
          </w:p>
        </w:tc>
        <w:tc>
          <w:tcPr>
            <w:tcW w:w="36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By Whom Paid</w:t>
            </w:r>
          </w:p>
        </w:tc>
      </w:tr>
      <w:tr>
        <w:trPr>
          <w:trHeight w:val="48"/>
        </w:trPr>
        <w:tc>
          <w:tcPr>
            <w:tcW w:w="1060" w:type="dxa"/>
            <w:vAlign w:val="bottom"/>
            <w:tcBorders>
              <w:left w:val="single" w:sz="8" w:color="auto"/>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r>
        <w:trPr>
          <w:trHeight w:val="238"/>
        </w:trPr>
        <w:tc>
          <w:tcPr>
            <w:tcW w:w="1060" w:type="dxa"/>
            <w:vAlign w:val="bottom"/>
            <w:tcBorders>
              <w:lef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Issuance of ADSs upon deposit of</w:t>
            </w:r>
          </w:p>
        </w:tc>
        <w:tc>
          <w:tcPr>
            <w:tcW w:w="36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Up to U.S. $5.00 per 100 ADSs (or fraction</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Person depositing Shares.</w:t>
            </w:r>
          </w:p>
        </w:tc>
      </w:tr>
      <w:tr>
        <w:trPr>
          <w:trHeight w:val="216"/>
        </w:trPr>
        <w:tc>
          <w:tcPr>
            <w:tcW w:w="1060" w:type="dxa"/>
            <w:vAlign w:val="bottom"/>
            <w:tcBorders>
              <w:left w:val="single" w:sz="8" w:color="auto"/>
            </w:tcBorders>
          </w:tcPr>
          <w:p>
            <w:pPr>
              <w:spacing w:after="0"/>
              <w:rPr>
                <w:sz w:val="18"/>
                <w:szCs w:val="18"/>
                <w:color w:val="auto"/>
              </w:rPr>
            </w:pP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Shares (excluding issuances as a</w:t>
            </w:r>
          </w:p>
        </w:tc>
        <w:tc>
          <w:tcPr>
            <w:tcW w:w="36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thereof) issued.</w:t>
            </w:r>
          </w:p>
        </w:tc>
        <w:tc>
          <w:tcPr>
            <w:tcW w:w="364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result of distributions described in</w:t>
            </w:r>
          </w:p>
        </w:tc>
        <w:tc>
          <w:tcPr>
            <w:tcW w:w="368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paragraph (4) below).</w:t>
            </w:r>
          </w:p>
        </w:tc>
        <w:tc>
          <w:tcPr>
            <w:tcW w:w="3680" w:type="dxa"/>
            <w:vAlign w:val="bottom"/>
            <w:tcBorders>
              <w:right w:val="single" w:sz="8" w:color="auto"/>
            </w:tcBorders>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r>
      <w:tr>
        <w:trPr>
          <w:trHeight w:val="48"/>
        </w:trPr>
        <w:tc>
          <w:tcPr>
            <w:tcW w:w="1060" w:type="dxa"/>
            <w:vAlign w:val="bottom"/>
            <w:tcBorders>
              <w:left w:val="single" w:sz="8" w:color="auto"/>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r>
        <w:trPr>
          <w:trHeight w:val="238"/>
        </w:trPr>
        <w:tc>
          <w:tcPr>
            <w:tcW w:w="1060" w:type="dxa"/>
            <w:vAlign w:val="bottom"/>
            <w:tcBorders>
              <w:lef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w:t>
            </w: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Delivery of Deposited Securities</w:t>
            </w:r>
          </w:p>
        </w:tc>
        <w:tc>
          <w:tcPr>
            <w:tcW w:w="36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Up to U.S. $5.00 per 100 ADSs (or fraction</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Person surrendering ADSs for purpose of</w:t>
            </w:r>
          </w:p>
        </w:tc>
      </w:tr>
      <w:tr>
        <w:trPr>
          <w:trHeight w:val="234"/>
        </w:trPr>
        <w:tc>
          <w:tcPr>
            <w:tcW w:w="1060" w:type="dxa"/>
            <w:vAlign w:val="bottom"/>
            <w:tcBorders>
              <w:left w:val="single" w:sz="8" w:color="auto"/>
            </w:tcBorders>
          </w:tcPr>
          <w:p>
            <w:pPr>
              <w:spacing w:after="0"/>
              <w:rPr>
                <w:sz w:val="20"/>
                <w:szCs w:val="20"/>
                <w:color w:val="auto"/>
              </w:rPr>
            </w:pP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against surrender of ADSs.</w:t>
            </w:r>
          </w:p>
        </w:tc>
        <w:tc>
          <w:tcPr>
            <w:tcW w:w="36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thereof) surrendered.</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withdrawal of Deposited Securities.</w:t>
            </w:r>
          </w:p>
        </w:tc>
      </w:tr>
      <w:tr>
        <w:trPr>
          <w:trHeight w:val="48"/>
        </w:trPr>
        <w:tc>
          <w:tcPr>
            <w:tcW w:w="1060" w:type="dxa"/>
            <w:vAlign w:val="bottom"/>
            <w:tcBorders>
              <w:left w:val="single" w:sz="8" w:color="auto"/>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r>
        <w:trPr>
          <w:trHeight w:val="238"/>
        </w:trPr>
        <w:tc>
          <w:tcPr>
            <w:tcW w:w="1060" w:type="dxa"/>
            <w:vAlign w:val="bottom"/>
            <w:tcBorders>
              <w:lef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w:t>
            </w: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Distribution of cash dividends or</w:t>
            </w:r>
          </w:p>
        </w:tc>
        <w:tc>
          <w:tcPr>
            <w:tcW w:w="36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Up to U.S. $5.00 per 100 ADSs (or fraction</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Person to whom distribution is made.</w:t>
            </w:r>
          </w:p>
        </w:tc>
      </w:tr>
      <w:tr>
        <w:trPr>
          <w:trHeight w:val="216"/>
        </w:trPr>
        <w:tc>
          <w:tcPr>
            <w:tcW w:w="1060" w:type="dxa"/>
            <w:vAlign w:val="bottom"/>
            <w:tcBorders>
              <w:left w:val="single" w:sz="8" w:color="auto"/>
            </w:tcBorders>
          </w:tcPr>
          <w:p>
            <w:pPr>
              <w:spacing w:after="0"/>
              <w:rPr>
                <w:sz w:val="18"/>
                <w:szCs w:val="18"/>
                <w:color w:val="auto"/>
              </w:rPr>
            </w:pP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other cash distributions (</w:t>
            </w:r>
            <w:r>
              <w:rPr>
                <w:rFonts w:ascii="Arial" w:cs="Arial" w:eastAsia="Arial" w:hAnsi="Arial"/>
                <w:sz w:val="18"/>
                <w:szCs w:val="18"/>
                <w:b w:val="1"/>
                <w:bCs w:val="1"/>
                <w:i w:val="1"/>
                <w:iCs w:val="1"/>
                <w:color w:val="auto"/>
                <w:w w:val="94"/>
              </w:rPr>
              <w:t>i.e.</w:t>
            </w:r>
            <w:r>
              <w:rPr>
                <w:rFonts w:ascii="Arial" w:cs="Arial" w:eastAsia="Arial" w:hAnsi="Arial"/>
                <w:sz w:val="18"/>
                <w:szCs w:val="18"/>
                <w:b w:val="1"/>
                <w:bCs w:val="1"/>
                <w:color w:val="auto"/>
                <w:w w:val="94"/>
              </w:rPr>
              <w:t>, sale of</w:t>
            </w:r>
          </w:p>
        </w:tc>
        <w:tc>
          <w:tcPr>
            <w:tcW w:w="36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thereof) held.</w:t>
            </w:r>
          </w:p>
        </w:tc>
        <w:tc>
          <w:tcPr>
            <w:tcW w:w="3640" w:type="dxa"/>
            <w:vAlign w:val="bottom"/>
            <w:tcBorders>
              <w:right w:val="single" w:sz="8" w:color="auto"/>
            </w:tcBorders>
          </w:tcPr>
          <w:p>
            <w:pPr>
              <w:spacing w:after="0"/>
              <w:rPr>
                <w:sz w:val="18"/>
                <w:szCs w:val="18"/>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rights and other entitlements).</w:t>
            </w:r>
          </w:p>
        </w:tc>
        <w:tc>
          <w:tcPr>
            <w:tcW w:w="3680" w:type="dxa"/>
            <w:vAlign w:val="bottom"/>
            <w:tcBorders>
              <w:right w:val="single" w:sz="8" w:color="auto"/>
            </w:tcBorders>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r>
      <w:tr>
        <w:trPr>
          <w:trHeight w:val="48"/>
        </w:trPr>
        <w:tc>
          <w:tcPr>
            <w:tcW w:w="1060" w:type="dxa"/>
            <w:vAlign w:val="bottom"/>
            <w:tcBorders>
              <w:left w:val="single" w:sz="8" w:color="auto"/>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r>
        <w:trPr>
          <w:trHeight w:val="238"/>
        </w:trPr>
        <w:tc>
          <w:tcPr>
            <w:tcW w:w="1060" w:type="dxa"/>
            <w:vAlign w:val="bottom"/>
            <w:tcBorders>
              <w:lef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w:t>
            </w: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w w:val="96"/>
              </w:rPr>
              <w:t>Distribution of ADSs pursuant to (i)</w:t>
            </w:r>
          </w:p>
        </w:tc>
        <w:tc>
          <w:tcPr>
            <w:tcW w:w="36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Up to U.S. $5.00 per 100 ADSs (or fraction</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Person to whom distribution is made.</w:t>
            </w:r>
          </w:p>
        </w:tc>
      </w:tr>
      <w:tr>
        <w:trPr>
          <w:trHeight w:val="216"/>
        </w:trPr>
        <w:tc>
          <w:tcPr>
            <w:tcW w:w="1060" w:type="dxa"/>
            <w:vAlign w:val="bottom"/>
            <w:tcBorders>
              <w:left w:val="single" w:sz="8" w:color="auto"/>
            </w:tcBorders>
          </w:tcPr>
          <w:p>
            <w:pPr>
              <w:spacing w:after="0"/>
              <w:rPr>
                <w:sz w:val="18"/>
                <w:szCs w:val="18"/>
                <w:color w:val="auto"/>
              </w:rPr>
            </w:pP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w w:val="96"/>
              </w:rPr>
              <w:t>stock dividends or other free stock</w:t>
            </w:r>
          </w:p>
        </w:tc>
        <w:tc>
          <w:tcPr>
            <w:tcW w:w="36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thereof) held.</w:t>
            </w:r>
          </w:p>
        </w:tc>
        <w:tc>
          <w:tcPr>
            <w:tcW w:w="364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w w:val="91"/>
              </w:rPr>
              <w:t>distributions, or (ii) exercise of rights</w:t>
            </w:r>
          </w:p>
        </w:tc>
        <w:tc>
          <w:tcPr>
            <w:tcW w:w="368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to purchase additional ADSs.</w:t>
            </w:r>
          </w:p>
        </w:tc>
        <w:tc>
          <w:tcPr>
            <w:tcW w:w="3680" w:type="dxa"/>
            <w:vAlign w:val="bottom"/>
            <w:tcBorders>
              <w:right w:val="single" w:sz="8" w:color="auto"/>
            </w:tcBorders>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r>
      <w:tr>
        <w:trPr>
          <w:trHeight w:val="48"/>
        </w:trPr>
        <w:tc>
          <w:tcPr>
            <w:tcW w:w="1060" w:type="dxa"/>
            <w:vAlign w:val="bottom"/>
            <w:tcBorders>
              <w:left w:val="single" w:sz="8" w:color="auto"/>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r>
        <w:trPr>
          <w:trHeight w:val="238"/>
        </w:trPr>
        <w:tc>
          <w:tcPr>
            <w:tcW w:w="1060" w:type="dxa"/>
            <w:vAlign w:val="bottom"/>
            <w:tcBorders>
              <w:lef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Distribution of securities other than</w:t>
            </w:r>
          </w:p>
        </w:tc>
        <w:tc>
          <w:tcPr>
            <w:tcW w:w="36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Up to U.S. $5.00 per 100 ADSs (or fraction</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Person to whom distribution is made.</w:t>
            </w:r>
          </w:p>
        </w:tc>
      </w:tr>
      <w:tr>
        <w:trPr>
          <w:trHeight w:val="216"/>
        </w:trPr>
        <w:tc>
          <w:tcPr>
            <w:tcW w:w="1060" w:type="dxa"/>
            <w:vAlign w:val="bottom"/>
            <w:tcBorders>
              <w:left w:val="single" w:sz="8" w:color="auto"/>
            </w:tcBorders>
          </w:tcPr>
          <w:p>
            <w:pPr>
              <w:spacing w:after="0"/>
              <w:rPr>
                <w:sz w:val="18"/>
                <w:szCs w:val="18"/>
                <w:color w:val="auto"/>
              </w:rPr>
            </w:pP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ADSs or rights to purchase</w:t>
            </w:r>
          </w:p>
        </w:tc>
        <w:tc>
          <w:tcPr>
            <w:tcW w:w="36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thereof) held.</w:t>
            </w:r>
          </w:p>
        </w:tc>
        <w:tc>
          <w:tcPr>
            <w:tcW w:w="3640" w:type="dxa"/>
            <w:vAlign w:val="bottom"/>
            <w:tcBorders>
              <w:right w:val="single" w:sz="8" w:color="auto"/>
            </w:tcBorders>
          </w:tcPr>
          <w:p>
            <w:pPr>
              <w:spacing w:after="0"/>
              <w:rPr>
                <w:sz w:val="18"/>
                <w:szCs w:val="18"/>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additional ADSs (</w:t>
            </w:r>
            <w:r>
              <w:rPr>
                <w:rFonts w:ascii="Arial" w:cs="Arial" w:eastAsia="Arial" w:hAnsi="Arial"/>
                <w:sz w:val="18"/>
                <w:szCs w:val="18"/>
                <w:b w:val="1"/>
                <w:bCs w:val="1"/>
                <w:i w:val="1"/>
                <w:iCs w:val="1"/>
                <w:color w:val="auto"/>
              </w:rPr>
              <w:t>i.e.</w:t>
            </w:r>
            <w:r>
              <w:rPr>
                <w:rFonts w:ascii="Arial" w:cs="Arial" w:eastAsia="Arial" w:hAnsi="Arial"/>
                <w:sz w:val="18"/>
                <w:szCs w:val="18"/>
                <w:b w:val="1"/>
                <w:bCs w:val="1"/>
                <w:color w:val="auto"/>
              </w:rPr>
              <w:t>, spin-off</w:t>
            </w:r>
          </w:p>
        </w:tc>
        <w:tc>
          <w:tcPr>
            <w:tcW w:w="368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r>
      <w:tr>
        <w:trPr>
          <w:trHeight w:val="234"/>
        </w:trPr>
        <w:tc>
          <w:tcPr>
            <w:tcW w:w="1060" w:type="dxa"/>
            <w:vAlign w:val="bottom"/>
            <w:tcBorders>
              <w:left w:val="single" w:sz="8" w:color="auto"/>
            </w:tcBorders>
          </w:tcPr>
          <w:p>
            <w:pPr>
              <w:spacing w:after="0"/>
              <w:rPr>
                <w:sz w:val="20"/>
                <w:szCs w:val="20"/>
                <w:color w:val="auto"/>
              </w:rPr>
            </w:pP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shares).</w:t>
            </w:r>
          </w:p>
        </w:tc>
        <w:tc>
          <w:tcPr>
            <w:tcW w:w="3680" w:type="dxa"/>
            <w:vAlign w:val="bottom"/>
            <w:tcBorders>
              <w:right w:val="single" w:sz="8" w:color="auto"/>
            </w:tcBorders>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r>
      <w:tr>
        <w:trPr>
          <w:trHeight w:val="48"/>
        </w:trPr>
        <w:tc>
          <w:tcPr>
            <w:tcW w:w="1060" w:type="dxa"/>
            <w:vAlign w:val="bottom"/>
            <w:tcBorders>
              <w:left w:val="single" w:sz="8" w:color="auto"/>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r>
        <w:trPr>
          <w:trHeight w:val="238"/>
        </w:trPr>
        <w:tc>
          <w:tcPr>
            <w:tcW w:w="1060" w:type="dxa"/>
            <w:vAlign w:val="bottom"/>
            <w:tcBorders>
              <w:lef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w:t>
            </w:r>
          </w:p>
        </w:tc>
        <w:tc>
          <w:tcPr>
            <w:tcW w:w="30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Depositary Services.</w:t>
            </w:r>
          </w:p>
        </w:tc>
        <w:tc>
          <w:tcPr>
            <w:tcW w:w="36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Up to U.S. $5.00 per 100 ADSs (or fraction</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8"/>
              </w:rPr>
              <w:t>Person holding ADSs on applicable record</w:t>
            </w:r>
          </w:p>
        </w:tc>
      </w:tr>
      <w:tr>
        <w:trPr>
          <w:trHeight w:val="234"/>
        </w:trPr>
        <w:tc>
          <w:tcPr>
            <w:tcW w:w="1060" w:type="dxa"/>
            <w:vAlign w:val="bottom"/>
            <w:tcBorders>
              <w:left w:val="single" w:sz="8" w:color="auto"/>
            </w:tcBorders>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thereof) held.</w:t>
            </w:r>
          </w:p>
        </w:tc>
        <w:tc>
          <w:tcPr>
            <w:tcW w:w="36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date(s) established by the Depositary.</w:t>
            </w:r>
          </w:p>
        </w:tc>
      </w:tr>
      <w:tr>
        <w:trPr>
          <w:trHeight w:val="48"/>
        </w:trPr>
        <w:tc>
          <w:tcPr>
            <w:tcW w:w="1060" w:type="dxa"/>
            <w:vAlign w:val="bottom"/>
            <w:tcBorders>
              <w:left w:val="single" w:sz="8" w:color="auto"/>
              <w:bottom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r>
        <w:trPr>
          <w:trHeight w:val="555"/>
        </w:trPr>
        <w:tc>
          <w:tcPr>
            <w:tcW w:w="10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80" w:type="dxa"/>
            <w:vAlign w:val="bottom"/>
          </w:tcPr>
          <w:p>
            <w:pPr>
              <w:ind w:left="1480"/>
              <w:spacing w:after="0"/>
              <w:rPr>
                <w:sz w:val="20"/>
                <w:szCs w:val="20"/>
                <w:color w:val="auto"/>
              </w:rPr>
            </w:pPr>
            <w:r>
              <w:rPr>
                <w:rFonts w:ascii="Arial" w:cs="Arial" w:eastAsia="Arial" w:hAnsi="Arial"/>
                <w:sz w:val="14"/>
                <w:szCs w:val="14"/>
                <w:color w:val="auto"/>
              </w:rPr>
              <w:t>B-1</w:t>
            </w:r>
          </w:p>
        </w:tc>
        <w:tc>
          <w:tcPr>
            <w:tcW w:w="3640" w:type="dxa"/>
            <w:vAlign w:val="bottom"/>
          </w:tcPr>
          <w:p>
            <w:pPr>
              <w:spacing w:after="0"/>
              <w:rPr>
                <w:sz w:val="24"/>
                <w:szCs w:val="24"/>
                <w:color w:val="auto"/>
              </w:rPr>
            </w:pPr>
          </w:p>
        </w:tc>
      </w:tr>
      <w:tr>
        <w:trPr>
          <w:trHeight w:val="103"/>
        </w:trPr>
        <w:tc>
          <w:tcPr>
            <w:tcW w:w="1060" w:type="dxa"/>
            <w:vAlign w:val="bottom"/>
            <w:tcBorders>
              <w:bottom w:val="single" w:sz="8" w:color="808080"/>
            </w:tcBorders>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36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3" w:name="page84"/>
    <w:bookmarkEnd w:id="83"/>
    <w:p>
      <w:pPr>
        <w:ind w:left="1300" w:hanging="1292"/>
        <w:spacing w:after="0"/>
        <w:tabs>
          <w:tab w:leader="none" w:pos="1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Holders, Beneficial Owners, persons depositing Shares and persons surrendering ADSs for cancellation and for the purpose of withdrawing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Deposited Securities shall be responsible for the following charges:</w:t>
      </w:r>
    </w:p>
    <w:p>
      <w:pPr>
        <w:spacing w:after="0" w:line="238" w:lineRule="exact"/>
        <w:rPr>
          <w:sz w:val="20"/>
          <w:szCs w:val="20"/>
          <w:color w:val="auto"/>
        </w:rPr>
      </w:pPr>
    </w:p>
    <w:p>
      <w:pPr>
        <w:ind w:left="1300" w:hanging="129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52" w:lineRule="exact"/>
        <w:rPr>
          <w:rFonts w:ascii="Arial" w:cs="Arial" w:eastAsia="Arial" w:hAnsi="Arial"/>
          <w:sz w:val="18"/>
          <w:szCs w:val="18"/>
          <w:color w:val="auto"/>
        </w:rPr>
      </w:pPr>
    </w:p>
    <w:p>
      <w:pPr>
        <w:ind w:left="660" w:right="60" w:hanging="652"/>
        <w:spacing w:after="0" w:line="264" w:lineRule="auto"/>
        <w:tabs>
          <w:tab w:leader="none" w:pos="13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208" w:lineRule="exact"/>
        <w:rPr>
          <w:rFonts w:ascii="Arial" w:cs="Arial" w:eastAsia="Arial" w:hAnsi="Arial"/>
          <w:sz w:val="18"/>
          <w:szCs w:val="18"/>
          <w:color w:val="auto"/>
        </w:rPr>
      </w:pPr>
    </w:p>
    <w:p>
      <w:pPr>
        <w:ind w:left="660" w:hanging="652"/>
        <w:spacing w:after="0" w:line="277" w:lineRule="auto"/>
        <w:tabs>
          <w:tab w:leader="none" w:pos="13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Deposit Agreement to be at the expense of the person depositing or withdrawing Shares or Holders and Beneficial Owners of ADSs;</w:t>
      </w:r>
    </w:p>
    <w:p>
      <w:pPr>
        <w:spacing w:after="0" w:line="197" w:lineRule="exact"/>
        <w:rPr>
          <w:rFonts w:ascii="Arial" w:cs="Arial" w:eastAsia="Arial" w:hAnsi="Arial"/>
          <w:sz w:val="18"/>
          <w:szCs w:val="18"/>
          <w:color w:val="auto"/>
        </w:rPr>
      </w:pPr>
    </w:p>
    <w:p>
      <w:pPr>
        <w:ind w:left="1300" w:hanging="129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252" w:lineRule="exact"/>
        <w:rPr>
          <w:rFonts w:ascii="Arial" w:cs="Arial" w:eastAsia="Arial" w:hAnsi="Arial"/>
          <w:sz w:val="18"/>
          <w:szCs w:val="18"/>
          <w:color w:val="auto"/>
        </w:rPr>
      </w:pPr>
    </w:p>
    <w:p>
      <w:pPr>
        <w:ind w:left="660" w:right="480" w:hanging="652"/>
        <w:spacing w:after="0" w:line="277" w:lineRule="auto"/>
        <w:tabs>
          <w:tab w:leader="none" w:pos="13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fees and expenses as are incurred by the Depositary in connection with compliance with exchange control regulations and other regulatory requirements applicable to Shares, Deposited Securities, ADSs and ADRs; and</w:t>
      </w:r>
    </w:p>
    <w:p>
      <w:pPr>
        <w:spacing w:after="0" w:line="197" w:lineRule="exact"/>
        <w:rPr>
          <w:rFonts w:ascii="Arial" w:cs="Arial" w:eastAsia="Arial" w:hAnsi="Arial"/>
          <w:sz w:val="18"/>
          <w:szCs w:val="18"/>
          <w:color w:val="auto"/>
        </w:rPr>
      </w:pPr>
    </w:p>
    <w:p>
      <w:pPr>
        <w:ind w:left="660" w:right="80" w:hanging="652"/>
        <w:spacing w:after="0" w:line="277" w:lineRule="auto"/>
        <w:tabs>
          <w:tab w:leader="none" w:pos="13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fees and expenses incurred by the Depositary, the Custodian, or any nominee in connection with the servicing or delivery of Deposited Securities.</w:t>
      </w: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40" w:type="dxa"/>
            <w:vAlign w:val="bottom"/>
          </w:tcPr>
          <w:p>
            <w:pPr>
              <w:ind w:left="3480"/>
              <w:spacing w:after="0"/>
              <w:rPr>
                <w:sz w:val="20"/>
                <w:szCs w:val="20"/>
                <w:color w:val="auto"/>
              </w:rPr>
            </w:pPr>
            <w:r>
              <w:rPr>
                <w:rFonts w:ascii="Arial" w:cs="Arial" w:eastAsia="Arial" w:hAnsi="Arial"/>
                <w:sz w:val="18"/>
                <w:szCs w:val="18"/>
                <w:color w:val="auto"/>
              </w:rPr>
              <w:t>TABLE OF CONTENTS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00" w:type="dxa"/>
            <w:vAlign w:val="bottom"/>
          </w:tcPr>
          <w:p>
            <w:pPr>
              <w:spacing w:after="0"/>
              <w:rPr>
                <w:sz w:val="21"/>
                <w:szCs w:val="21"/>
                <w:color w:val="auto"/>
              </w:rPr>
            </w:pPr>
          </w:p>
        </w:tc>
        <w:tc>
          <w:tcPr>
            <w:tcW w:w="9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9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DEFINITIONS</w:t>
            </w:r>
          </w:p>
        </w:tc>
        <w:tc>
          <w:tcPr>
            <w:tcW w:w="9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1.1</w:t>
            </w:r>
          </w:p>
        </w:tc>
        <w:tc>
          <w:tcPr>
            <w:tcW w:w="9440" w:type="dxa"/>
            <w:vAlign w:val="bottom"/>
          </w:tcPr>
          <w:p>
            <w:pPr>
              <w:ind w:left="180"/>
              <w:spacing w:after="0"/>
              <w:rPr>
                <w:sz w:val="20"/>
                <w:szCs w:val="20"/>
                <w:color w:val="auto"/>
              </w:rPr>
            </w:pPr>
            <w:r>
              <w:rPr>
                <w:rFonts w:ascii="Arial" w:cs="Arial" w:eastAsia="Arial" w:hAnsi="Arial"/>
                <w:sz w:val="18"/>
                <w:szCs w:val="18"/>
                <w:color w:val="auto"/>
              </w:rPr>
              <w:t>“ADS Record Date”</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1.3</w:t>
            </w:r>
          </w:p>
        </w:tc>
        <w:tc>
          <w:tcPr>
            <w:tcW w:w="9440" w:type="dxa"/>
            <w:vAlign w:val="bottom"/>
          </w:tcPr>
          <w:p>
            <w:pPr>
              <w:ind w:left="180"/>
              <w:spacing w:after="0"/>
              <w:rPr>
                <w:sz w:val="20"/>
                <w:szCs w:val="20"/>
                <w:color w:val="auto"/>
              </w:rPr>
            </w:pPr>
            <w:r>
              <w:rPr>
                <w:rFonts w:ascii="Arial" w:cs="Arial" w:eastAsia="Arial" w:hAnsi="Arial"/>
                <w:sz w:val="18"/>
                <w:szCs w:val="18"/>
                <w:color w:val="auto"/>
              </w:rPr>
              <w:t>“American Depositary Receipt(s)”, “ADR(s)” and “Receipt(s)”</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1.4</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“American Depositary Share(s)” and “ADS(s)”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1.5</w:t>
            </w:r>
          </w:p>
        </w:tc>
        <w:tc>
          <w:tcPr>
            <w:tcW w:w="9440" w:type="dxa"/>
            <w:vAlign w:val="bottom"/>
          </w:tcPr>
          <w:p>
            <w:pPr>
              <w:ind w:left="180"/>
              <w:spacing w:after="0"/>
              <w:rPr>
                <w:sz w:val="20"/>
                <w:szCs w:val="20"/>
                <w:color w:val="auto"/>
              </w:rPr>
            </w:pPr>
            <w:r>
              <w:rPr>
                <w:rFonts w:ascii="Arial" w:cs="Arial" w:eastAsia="Arial" w:hAnsi="Arial"/>
                <w:sz w:val="18"/>
                <w:szCs w:val="18"/>
                <w:color w:val="auto"/>
              </w:rPr>
              <w:t>“Applicant”</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1.6</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“Articles of Association”.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1.7</w:t>
            </w:r>
          </w:p>
        </w:tc>
        <w:tc>
          <w:tcPr>
            <w:tcW w:w="9440" w:type="dxa"/>
            <w:vAlign w:val="bottom"/>
          </w:tcPr>
          <w:p>
            <w:pPr>
              <w:ind w:left="180"/>
              <w:spacing w:after="0"/>
              <w:rPr>
                <w:sz w:val="20"/>
                <w:szCs w:val="20"/>
                <w:color w:val="auto"/>
              </w:rPr>
            </w:pPr>
            <w:r>
              <w:rPr>
                <w:rFonts w:ascii="Arial" w:cs="Arial" w:eastAsia="Arial" w:hAnsi="Arial"/>
                <w:sz w:val="18"/>
                <w:szCs w:val="18"/>
                <w:color w:val="auto"/>
              </w:rPr>
              <w:t>“Beneficial Owner”</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1.8</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“Certificated ADS(s)”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1.9</w:t>
            </w:r>
          </w:p>
        </w:tc>
        <w:tc>
          <w:tcPr>
            <w:tcW w:w="9440" w:type="dxa"/>
            <w:vAlign w:val="bottom"/>
          </w:tcPr>
          <w:p>
            <w:pPr>
              <w:ind w:left="180"/>
              <w:spacing w:after="0"/>
              <w:rPr>
                <w:sz w:val="20"/>
                <w:szCs w:val="20"/>
                <w:color w:val="auto"/>
              </w:rPr>
            </w:pPr>
            <w:r>
              <w:rPr>
                <w:rFonts w:ascii="Arial" w:cs="Arial" w:eastAsia="Arial" w:hAnsi="Arial"/>
                <w:sz w:val="18"/>
                <w:szCs w:val="18"/>
                <w:color w:val="auto"/>
              </w:rPr>
              <w:t>“Commission”</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1.10</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1.11</w:t>
            </w:r>
          </w:p>
        </w:tc>
        <w:tc>
          <w:tcPr>
            <w:tcW w:w="9440" w:type="dxa"/>
            <w:vAlign w:val="bottom"/>
          </w:tcPr>
          <w:p>
            <w:pPr>
              <w:ind w:left="180"/>
              <w:spacing w:after="0"/>
              <w:rPr>
                <w:sz w:val="20"/>
                <w:szCs w:val="20"/>
                <w:color w:val="auto"/>
              </w:rPr>
            </w:pPr>
            <w:r>
              <w:rPr>
                <w:rFonts w:ascii="Arial" w:cs="Arial" w:eastAsia="Arial" w:hAnsi="Arial"/>
                <w:sz w:val="18"/>
                <w:szCs w:val="18"/>
                <w:color w:val="auto"/>
              </w:rPr>
              <w:t>“Custodian”</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1.12</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“Deliver” and “Delivery”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1.13</w:t>
            </w:r>
          </w:p>
        </w:tc>
        <w:tc>
          <w:tcPr>
            <w:tcW w:w="9440" w:type="dxa"/>
            <w:vAlign w:val="bottom"/>
          </w:tcPr>
          <w:p>
            <w:pPr>
              <w:ind w:left="180"/>
              <w:spacing w:after="0"/>
              <w:rPr>
                <w:sz w:val="20"/>
                <w:szCs w:val="20"/>
                <w:color w:val="auto"/>
              </w:rPr>
            </w:pPr>
            <w:r>
              <w:rPr>
                <w:rFonts w:ascii="Arial" w:cs="Arial" w:eastAsia="Arial" w:hAnsi="Arial"/>
                <w:sz w:val="18"/>
                <w:szCs w:val="18"/>
                <w:color w:val="auto"/>
              </w:rPr>
              <w:t>“Deposit Agreement”</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1.14</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“Depositary”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1.15</w:t>
            </w:r>
          </w:p>
        </w:tc>
        <w:tc>
          <w:tcPr>
            <w:tcW w:w="9440" w:type="dxa"/>
            <w:vAlign w:val="bottom"/>
          </w:tcPr>
          <w:p>
            <w:pPr>
              <w:ind w:left="180"/>
              <w:spacing w:after="0"/>
              <w:rPr>
                <w:sz w:val="20"/>
                <w:szCs w:val="20"/>
                <w:color w:val="auto"/>
              </w:rPr>
            </w:pPr>
            <w:r>
              <w:rPr>
                <w:rFonts w:ascii="Arial" w:cs="Arial" w:eastAsia="Arial" w:hAnsi="Arial"/>
                <w:sz w:val="18"/>
                <w:szCs w:val="18"/>
                <w:color w:val="auto"/>
              </w:rPr>
              <w:t>“Deposited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1.16</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“Dollars” and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1.17</w:t>
            </w:r>
          </w:p>
        </w:tc>
        <w:tc>
          <w:tcPr>
            <w:tcW w:w="9440" w:type="dxa"/>
            <w:vAlign w:val="bottom"/>
          </w:tcPr>
          <w:p>
            <w:pPr>
              <w:ind w:left="180"/>
              <w:spacing w:after="0"/>
              <w:rPr>
                <w:sz w:val="20"/>
                <w:szCs w:val="20"/>
                <w:color w:val="auto"/>
              </w:rPr>
            </w:pPr>
            <w:r>
              <w:rPr>
                <w:rFonts w:ascii="Arial" w:cs="Arial" w:eastAsia="Arial" w:hAnsi="Arial"/>
                <w:sz w:val="18"/>
                <w:szCs w:val="18"/>
                <w:color w:val="auto"/>
              </w:rPr>
              <w:t>“DTC”</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1.18</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“DTC Participant”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1.19</w:t>
            </w:r>
          </w:p>
        </w:tc>
        <w:tc>
          <w:tcPr>
            <w:tcW w:w="9440" w:type="dxa"/>
            <w:vAlign w:val="bottom"/>
          </w:tcPr>
          <w:p>
            <w:pPr>
              <w:ind w:left="180"/>
              <w:spacing w:after="0"/>
              <w:rPr>
                <w:sz w:val="20"/>
                <w:szCs w:val="20"/>
                <w:color w:val="auto"/>
              </w:rPr>
            </w:pPr>
            <w:r>
              <w:rPr>
                <w:rFonts w:ascii="Arial" w:cs="Arial" w:eastAsia="Arial" w:hAnsi="Arial"/>
                <w:sz w:val="18"/>
                <w:szCs w:val="18"/>
                <w:color w:val="auto"/>
              </w:rPr>
              <w:t>“Exchange Act”</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1.20</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1.21</w:t>
            </w:r>
          </w:p>
        </w:tc>
        <w:tc>
          <w:tcPr>
            <w:tcW w:w="9440" w:type="dxa"/>
            <w:vAlign w:val="bottom"/>
          </w:tcPr>
          <w:p>
            <w:pPr>
              <w:ind w:left="180"/>
              <w:spacing w:after="0"/>
              <w:rPr>
                <w:sz w:val="20"/>
                <w:szCs w:val="20"/>
                <w:color w:val="auto"/>
              </w:rPr>
            </w:pPr>
            <w:r>
              <w:rPr>
                <w:rFonts w:ascii="Arial" w:cs="Arial" w:eastAsia="Arial" w:hAnsi="Arial"/>
                <w:sz w:val="18"/>
                <w:szCs w:val="18"/>
                <w:color w:val="auto"/>
              </w:rPr>
              <w:t>“Full Entitlement ADR(s)”, “Full Entitlement ADS(s)” and “Full Entitlement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1.22</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1.23</w:t>
            </w:r>
          </w:p>
        </w:tc>
        <w:tc>
          <w:tcPr>
            <w:tcW w:w="9440" w:type="dxa"/>
            <w:vAlign w:val="bottom"/>
          </w:tcPr>
          <w:p>
            <w:pPr>
              <w:ind w:left="180"/>
              <w:spacing w:after="0"/>
              <w:rPr>
                <w:sz w:val="20"/>
                <w:szCs w:val="20"/>
                <w:color w:val="auto"/>
              </w:rPr>
            </w:pPr>
            <w:r>
              <w:rPr>
                <w:rFonts w:ascii="Arial" w:cs="Arial" w:eastAsia="Arial" w:hAnsi="Arial"/>
                <w:sz w:val="18"/>
                <w:szCs w:val="18"/>
                <w:color w:val="auto"/>
              </w:rPr>
              <w:t>“Partial Entitlement ADR(s)”, “Partial Entitlement ADS(s)” and “Partial Entitlement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1.24</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“Pre-Release Transaction”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1.25</w:t>
            </w:r>
          </w:p>
        </w:tc>
        <w:tc>
          <w:tcPr>
            <w:tcW w:w="9440" w:type="dxa"/>
            <w:vAlign w:val="bottom"/>
          </w:tcPr>
          <w:p>
            <w:pPr>
              <w:ind w:left="180"/>
              <w:spacing w:after="0"/>
              <w:rPr>
                <w:sz w:val="20"/>
                <w:szCs w:val="20"/>
                <w:color w:val="auto"/>
              </w:rPr>
            </w:pPr>
            <w:r>
              <w:rPr>
                <w:rFonts w:ascii="Arial" w:cs="Arial" w:eastAsia="Arial" w:hAnsi="Arial"/>
                <w:sz w:val="18"/>
                <w:szCs w:val="18"/>
                <w:color w:val="auto"/>
              </w:rPr>
              <w:t>“Principal Office”</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1.26</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“Registrar”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1.27</w:t>
            </w:r>
          </w:p>
        </w:tc>
        <w:tc>
          <w:tcPr>
            <w:tcW w:w="9440" w:type="dxa"/>
            <w:vAlign w:val="bottom"/>
          </w:tcPr>
          <w:p>
            <w:pPr>
              <w:ind w:left="180"/>
              <w:spacing w:after="0"/>
              <w:rPr>
                <w:sz w:val="20"/>
                <w:szCs w:val="20"/>
                <w:color w:val="auto"/>
              </w:rPr>
            </w:pPr>
            <w:r>
              <w:rPr>
                <w:rFonts w:ascii="Arial" w:cs="Arial" w:eastAsia="Arial" w:hAnsi="Arial"/>
                <w:sz w:val="18"/>
                <w:szCs w:val="18"/>
                <w:color w:val="auto"/>
              </w:rPr>
              <w:t>“Restricted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1.28</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ADR(s)”, “Restricted ADS(s)” and “Restricted Shares”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1.29</w:t>
            </w:r>
          </w:p>
        </w:tc>
        <w:tc>
          <w:tcPr>
            <w:tcW w:w="9440" w:type="dxa"/>
            <w:vAlign w:val="bottom"/>
          </w:tcPr>
          <w:p>
            <w:pPr>
              <w:ind w:left="180"/>
              <w:spacing w:after="0"/>
              <w:rPr>
                <w:sz w:val="20"/>
                <w:szCs w:val="20"/>
                <w:color w:val="auto"/>
              </w:rPr>
            </w:pPr>
            <w:r>
              <w:rPr>
                <w:rFonts w:ascii="Arial" w:cs="Arial" w:eastAsia="Arial" w:hAnsi="Arial"/>
                <w:sz w:val="18"/>
                <w:szCs w:val="18"/>
                <w:color w:val="auto"/>
              </w:rPr>
              <w:t>“Securities Act”</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1.30</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Registrar”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1.31</w:t>
            </w:r>
          </w:p>
        </w:tc>
        <w:tc>
          <w:tcPr>
            <w:tcW w:w="9440" w:type="dxa"/>
            <w:vAlign w:val="bottom"/>
          </w:tcPr>
          <w:p>
            <w:pPr>
              <w:ind w:left="180"/>
              <w:spacing w:after="0"/>
              <w:rPr>
                <w:sz w:val="20"/>
                <w:szCs w:val="20"/>
                <w:color w:val="auto"/>
              </w:rPr>
            </w:pPr>
            <w:r>
              <w:rPr>
                <w:rFonts w:ascii="Arial" w:cs="Arial" w:eastAsia="Arial" w:hAnsi="Arial"/>
                <w:sz w:val="18"/>
                <w:szCs w:val="18"/>
                <w:color w:val="auto"/>
              </w:rPr>
              <w:t>“Shares”</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1.32</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“Uncertificated ADS(s)”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1.33</w:t>
            </w:r>
          </w:p>
        </w:tc>
        <w:tc>
          <w:tcPr>
            <w:tcW w:w="9440" w:type="dxa"/>
            <w:vAlign w:val="bottom"/>
          </w:tcPr>
          <w:p>
            <w:pPr>
              <w:ind w:left="180"/>
              <w:spacing w:after="0"/>
              <w:rPr>
                <w:sz w:val="20"/>
                <w:szCs w:val="20"/>
                <w:color w:val="auto"/>
              </w:rPr>
            </w:pPr>
            <w:r>
              <w:rPr>
                <w:rFonts w:ascii="Arial" w:cs="Arial" w:eastAsia="Arial" w:hAnsi="Arial"/>
                <w:sz w:val="18"/>
                <w:szCs w:val="18"/>
                <w:color w:val="auto"/>
              </w:rPr>
              <w:t>“United States” and “U.S.”</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ARTICLE II</w:t>
            </w:r>
          </w:p>
        </w:tc>
        <w:tc>
          <w:tcPr>
            <w:tcW w:w="9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4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740" w:type="dxa"/>
            <w:vAlign w:val="bottom"/>
            <w:gridSpan w:val="2"/>
          </w:tcPr>
          <w:p>
            <w:pPr>
              <w:spacing w:after="0" w:line="201" w:lineRule="exact"/>
              <w:rPr>
                <w:sz w:val="20"/>
                <w:szCs w:val="20"/>
                <w:color w:val="auto"/>
              </w:rPr>
            </w:pPr>
            <w:r>
              <w:rPr>
                <w:rFonts w:ascii="Arial" w:cs="Arial" w:eastAsia="Arial" w:hAnsi="Arial"/>
                <w:sz w:val="18"/>
                <w:szCs w:val="18"/>
                <w:color w:val="auto"/>
              </w:rPr>
              <w:t>APPOINTMENT OF DEPOSITARY; FORM OF RECEIPTS; DEPOSIT OF SHARES; EXECUTION AND DELIVERY, TRANSFER AND</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760" w:type="dxa"/>
            <w:vAlign w:val="bottom"/>
            <w:gridSpan w:val="3"/>
          </w:tcPr>
          <w:p>
            <w:pPr>
              <w:spacing w:after="0"/>
              <w:rPr>
                <w:sz w:val="20"/>
                <w:szCs w:val="20"/>
                <w:color w:val="auto"/>
              </w:rPr>
            </w:pPr>
            <w:r>
              <w:rPr>
                <w:rFonts w:ascii="Arial" w:cs="Arial" w:eastAsia="Arial" w:hAnsi="Arial"/>
                <w:sz w:val="18"/>
                <w:szCs w:val="18"/>
                <w:color w:val="auto"/>
              </w:rPr>
              <w:t>SURRENDER OF RECEIPTS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2.1</w:t>
            </w:r>
          </w:p>
        </w:tc>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Appointment of Depositary.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Section 2.2</w:t>
            </w:r>
          </w:p>
        </w:tc>
        <w:tc>
          <w:tcPr>
            <w:tcW w:w="9440" w:type="dxa"/>
            <w:vAlign w:val="bottom"/>
          </w:tcPr>
          <w:p>
            <w:pPr>
              <w:ind w:left="180"/>
              <w:spacing w:after="0"/>
              <w:rPr>
                <w:sz w:val="20"/>
                <w:szCs w:val="20"/>
                <w:color w:val="auto"/>
              </w:rPr>
            </w:pPr>
            <w:r>
              <w:rPr>
                <w:rFonts w:ascii="Arial" w:cs="Arial" w:eastAsia="Arial" w:hAnsi="Arial"/>
                <w:sz w:val="18"/>
                <w:szCs w:val="18"/>
                <w:color w:val="auto"/>
              </w:rPr>
              <w:t>Form and Transferability of ADSs.</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4"/>
        </w:trPr>
        <w:tc>
          <w:tcPr>
            <w:tcW w:w="20" w:type="dxa"/>
            <w:vAlign w:val="bottom"/>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94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2.3</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Deposit of Shares.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2.4</w:t>
            </w:r>
          </w:p>
        </w:tc>
        <w:tc>
          <w:tcPr>
            <w:tcW w:w="8740" w:type="dxa"/>
            <w:vAlign w:val="bottom"/>
          </w:tcPr>
          <w:p>
            <w:pPr>
              <w:ind w:left="220"/>
              <w:spacing w:after="0"/>
              <w:rPr>
                <w:sz w:val="20"/>
                <w:szCs w:val="20"/>
                <w:color w:val="auto"/>
              </w:rPr>
            </w:pPr>
            <w:r>
              <w:rPr>
                <w:rFonts w:ascii="Arial" w:cs="Arial" w:eastAsia="Arial" w:hAnsi="Arial"/>
                <w:sz w:val="18"/>
                <w:szCs w:val="18"/>
                <w:color w:val="auto"/>
              </w:rPr>
              <w:t>Registration and Safekeeping of Deposited Securities.</w:t>
            </w: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2.5</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ADSs.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2.6</w:t>
            </w:r>
          </w:p>
        </w:tc>
        <w:tc>
          <w:tcPr>
            <w:tcW w:w="8740" w:type="dxa"/>
            <w:vAlign w:val="bottom"/>
          </w:tcPr>
          <w:p>
            <w:pPr>
              <w:ind w:left="220"/>
              <w:spacing w:after="0"/>
              <w:rPr>
                <w:sz w:val="20"/>
                <w:szCs w:val="20"/>
                <w:color w:val="auto"/>
              </w:rPr>
            </w:pPr>
            <w:r>
              <w:rPr>
                <w:rFonts w:ascii="Arial" w:cs="Arial" w:eastAsia="Arial" w:hAnsi="Arial"/>
                <w:sz w:val="18"/>
                <w:szCs w:val="18"/>
                <w:color w:val="auto"/>
              </w:rPr>
              <w:t>Transfer, Combination and Split-up of ADRs.</w:t>
            </w: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2.7</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Surrender of ADSs and Withdrawal of Deposited Securities.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2.8</w:t>
            </w:r>
          </w:p>
        </w:tc>
        <w:tc>
          <w:tcPr>
            <w:tcW w:w="8740" w:type="dxa"/>
            <w:vAlign w:val="bottom"/>
          </w:tcPr>
          <w:p>
            <w:pPr>
              <w:ind w:left="220"/>
              <w:spacing w:after="0"/>
              <w:rPr>
                <w:sz w:val="20"/>
                <w:szCs w:val="20"/>
                <w:color w:val="auto"/>
              </w:rPr>
            </w:pPr>
            <w:r>
              <w:rPr>
                <w:rFonts w:ascii="Arial" w:cs="Arial" w:eastAsia="Arial" w:hAnsi="Arial"/>
                <w:sz w:val="18"/>
                <w:szCs w:val="18"/>
                <w:color w:val="auto"/>
              </w:rPr>
              <w:t>Limitations on Execution and Delivery, Transfer, etc. of ADSs; Suspension of Delivery, Transfer, etc.</w:t>
            </w: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2.9</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Lost ADRs, etc.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2.10</w:t>
            </w:r>
          </w:p>
        </w:tc>
        <w:tc>
          <w:tcPr>
            <w:tcW w:w="8740" w:type="dxa"/>
            <w:vAlign w:val="bottom"/>
          </w:tcPr>
          <w:p>
            <w:pPr>
              <w:ind w:left="220"/>
              <w:spacing w:after="0"/>
              <w:rPr>
                <w:sz w:val="20"/>
                <w:szCs w:val="20"/>
                <w:color w:val="auto"/>
              </w:rPr>
            </w:pPr>
            <w:r>
              <w:rPr>
                <w:rFonts w:ascii="Arial" w:cs="Arial" w:eastAsia="Arial" w:hAnsi="Arial"/>
                <w:sz w:val="18"/>
                <w:szCs w:val="18"/>
                <w:color w:val="auto"/>
              </w:rPr>
              <w:t>Cancellation and Destruction of Surrendered ADRs; Maintenance of Records.</w:t>
            </w: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2.11</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Escheatment.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2.12</w:t>
            </w:r>
          </w:p>
        </w:tc>
        <w:tc>
          <w:tcPr>
            <w:tcW w:w="8740" w:type="dxa"/>
            <w:vAlign w:val="bottom"/>
          </w:tcPr>
          <w:p>
            <w:pPr>
              <w:ind w:left="220"/>
              <w:spacing w:after="0"/>
              <w:rPr>
                <w:sz w:val="20"/>
                <w:szCs w:val="20"/>
                <w:color w:val="auto"/>
              </w:rPr>
            </w:pPr>
            <w:r>
              <w:rPr>
                <w:rFonts w:ascii="Arial" w:cs="Arial" w:eastAsia="Arial" w:hAnsi="Arial"/>
                <w:sz w:val="18"/>
                <w:szCs w:val="18"/>
                <w:color w:val="auto"/>
              </w:rPr>
              <w:t>Partial Entitlement ADSs.</w:t>
            </w: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2.13</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Certificated/Uncertificated ADSs.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2.14</w:t>
            </w:r>
          </w:p>
        </w:tc>
        <w:tc>
          <w:tcPr>
            <w:tcW w:w="8740" w:type="dxa"/>
            <w:vAlign w:val="bottom"/>
          </w:tcPr>
          <w:p>
            <w:pPr>
              <w:ind w:left="220"/>
              <w:spacing w:after="0"/>
              <w:rPr>
                <w:sz w:val="20"/>
                <w:szCs w:val="20"/>
                <w:color w:val="auto"/>
              </w:rPr>
            </w:pPr>
            <w:r>
              <w:rPr>
                <w:rFonts w:ascii="Arial" w:cs="Arial" w:eastAsia="Arial" w:hAnsi="Arial"/>
                <w:sz w:val="18"/>
                <w:szCs w:val="18"/>
                <w:color w:val="auto"/>
              </w:rPr>
              <w:t>Restricted ADSs.</w:t>
            </w: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ARTICLE III</w:t>
            </w:r>
          </w:p>
        </w:tc>
        <w:tc>
          <w:tcPr>
            <w:tcW w:w="8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0" w:type="dxa"/>
            <w:vAlign w:val="bottom"/>
            <w:gridSpan w:val="2"/>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CERTAIN OBLIGATIONS OF HOLDERS AND BENEFICIAL OWNERS OF ADSs</w:t>
            </w: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3.1</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Proofs, Certificates and Other Information.</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3.2</w:t>
            </w:r>
          </w:p>
        </w:tc>
        <w:tc>
          <w:tcPr>
            <w:tcW w:w="8740" w:type="dxa"/>
            <w:vAlign w:val="bottom"/>
          </w:tcPr>
          <w:p>
            <w:pPr>
              <w:ind w:left="220"/>
              <w:spacing w:after="0"/>
              <w:rPr>
                <w:sz w:val="20"/>
                <w:szCs w:val="20"/>
                <w:color w:val="auto"/>
              </w:rPr>
            </w:pPr>
            <w:r>
              <w:rPr>
                <w:rFonts w:ascii="Arial" w:cs="Arial" w:eastAsia="Arial" w:hAnsi="Arial"/>
                <w:sz w:val="18"/>
                <w:szCs w:val="18"/>
                <w:color w:val="auto"/>
              </w:rPr>
              <w:t>Liability for Taxes and Other Charges.</w:t>
            </w: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3.3</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Representations and Warranties on Deposit of Shares.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3.4</w:t>
            </w:r>
          </w:p>
        </w:tc>
        <w:tc>
          <w:tcPr>
            <w:tcW w:w="8740" w:type="dxa"/>
            <w:vAlign w:val="bottom"/>
          </w:tcPr>
          <w:p>
            <w:pPr>
              <w:ind w:left="220"/>
              <w:spacing w:after="0"/>
              <w:rPr>
                <w:sz w:val="20"/>
                <w:szCs w:val="20"/>
                <w:color w:val="auto"/>
              </w:rPr>
            </w:pPr>
            <w:r>
              <w:rPr>
                <w:rFonts w:ascii="Arial" w:cs="Arial" w:eastAsia="Arial" w:hAnsi="Arial"/>
                <w:sz w:val="18"/>
                <w:szCs w:val="18"/>
                <w:color w:val="auto"/>
              </w:rPr>
              <w:t>Compliance with Information Requests.</w:t>
            </w: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3.5</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Ownership Restrictions.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3.6</w:t>
            </w:r>
          </w:p>
        </w:tc>
        <w:tc>
          <w:tcPr>
            <w:tcW w:w="8740" w:type="dxa"/>
            <w:vAlign w:val="bottom"/>
          </w:tcPr>
          <w:p>
            <w:pPr>
              <w:ind w:left="220"/>
              <w:spacing w:after="0"/>
              <w:rPr>
                <w:sz w:val="20"/>
                <w:szCs w:val="20"/>
                <w:color w:val="auto"/>
              </w:rPr>
            </w:pPr>
            <w:r>
              <w:rPr>
                <w:rFonts w:ascii="Arial" w:cs="Arial" w:eastAsia="Arial" w:hAnsi="Arial"/>
                <w:sz w:val="18"/>
                <w:szCs w:val="18"/>
                <w:color w:val="auto"/>
              </w:rPr>
              <w:t>Reporting Obligations and Regulatory Approvals.</w:t>
            </w: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ARTICLE IV</w:t>
            </w:r>
          </w:p>
        </w:tc>
        <w:tc>
          <w:tcPr>
            <w:tcW w:w="8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0" w:type="dxa"/>
            <w:vAlign w:val="bottom"/>
            <w:gridSpan w:val="2"/>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THE DEPOSITED SECURITIES</w:t>
            </w: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4.1</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Distributions.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4.2</w:t>
            </w:r>
          </w:p>
        </w:tc>
        <w:tc>
          <w:tcPr>
            <w:tcW w:w="8740" w:type="dxa"/>
            <w:vAlign w:val="bottom"/>
          </w:tcPr>
          <w:p>
            <w:pPr>
              <w:ind w:left="220"/>
              <w:spacing w:after="0"/>
              <w:rPr>
                <w:sz w:val="20"/>
                <w:szCs w:val="20"/>
                <w:color w:val="auto"/>
              </w:rPr>
            </w:pPr>
            <w:r>
              <w:rPr>
                <w:rFonts w:ascii="Arial" w:cs="Arial" w:eastAsia="Arial" w:hAnsi="Arial"/>
                <w:sz w:val="18"/>
                <w:szCs w:val="18"/>
                <w:color w:val="auto"/>
              </w:rPr>
              <w:t>Distribution in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4.3</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Elective Distributions in Cash or Shares.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4.4</w:t>
            </w:r>
          </w:p>
        </w:tc>
        <w:tc>
          <w:tcPr>
            <w:tcW w:w="8740" w:type="dxa"/>
            <w:vAlign w:val="bottom"/>
          </w:tcPr>
          <w:p>
            <w:pPr>
              <w:ind w:left="220"/>
              <w:spacing w:after="0"/>
              <w:rPr>
                <w:sz w:val="20"/>
                <w:szCs w:val="20"/>
                <w:color w:val="auto"/>
              </w:rPr>
            </w:pPr>
            <w:r>
              <w:rPr>
                <w:rFonts w:ascii="Arial" w:cs="Arial" w:eastAsia="Arial" w:hAnsi="Arial"/>
                <w:sz w:val="18"/>
                <w:szCs w:val="18"/>
                <w:color w:val="auto"/>
              </w:rPr>
              <w:t>Distribution of Rights to Purchase Additional ADSs.</w:t>
            </w: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4.5</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4.6</w:t>
            </w:r>
          </w:p>
        </w:tc>
        <w:tc>
          <w:tcPr>
            <w:tcW w:w="8740" w:type="dxa"/>
            <w:vAlign w:val="bottom"/>
          </w:tcPr>
          <w:p>
            <w:pPr>
              <w:ind w:left="220"/>
              <w:spacing w:after="0"/>
              <w:rPr>
                <w:sz w:val="20"/>
                <w:szCs w:val="20"/>
                <w:color w:val="auto"/>
              </w:rPr>
            </w:pPr>
            <w:r>
              <w:rPr>
                <w:rFonts w:ascii="Arial" w:cs="Arial" w:eastAsia="Arial" w:hAnsi="Arial"/>
                <w:sz w:val="18"/>
                <w:szCs w:val="18"/>
                <w:color w:val="auto"/>
              </w:rPr>
              <w:t>Distributions with Respect to Deposited Securities in Bearer Form.</w:t>
            </w: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4.7</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Redemption.</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4.8</w:t>
            </w:r>
          </w:p>
        </w:tc>
        <w:tc>
          <w:tcPr>
            <w:tcW w:w="8740" w:type="dxa"/>
            <w:vAlign w:val="bottom"/>
          </w:tcPr>
          <w:p>
            <w:pPr>
              <w:ind w:left="220"/>
              <w:spacing w:after="0"/>
              <w:rPr>
                <w:sz w:val="20"/>
                <w:szCs w:val="20"/>
                <w:color w:val="auto"/>
              </w:rPr>
            </w:pPr>
            <w:r>
              <w:rPr>
                <w:rFonts w:ascii="Arial" w:cs="Arial" w:eastAsia="Arial" w:hAnsi="Arial"/>
                <w:sz w:val="18"/>
                <w:szCs w:val="18"/>
                <w:color w:val="auto"/>
              </w:rPr>
              <w:t>Conversion of Foreign Currency.</w:t>
            </w: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4.9</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Fixing of ADS Record Date.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4.10</w:t>
            </w:r>
          </w:p>
        </w:tc>
        <w:tc>
          <w:tcPr>
            <w:tcW w:w="8740" w:type="dxa"/>
            <w:vAlign w:val="bottom"/>
          </w:tcPr>
          <w:p>
            <w:pPr>
              <w:ind w:left="220"/>
              <w:spacing w:after="0"/>
              <w:rPr>
                <w:sz w:val="20"/>
                <w:szCs w:val="20"/>
                <w:color w:val="auto"/>
              </w:rPr>
            </w:pPr>
            <w:r>
              <w:rPr>
                <w:rFonts w:ascii="Arial" w:cs="Arial" w:eastAsia="Arial" w:hAnsi="Arial"/>
                <w:sz w:val="18"/>
                <w:szCs w:val="18"/>
                <w:color w:val="auto"/>
              </w:rPr>
              <w:t>Voting of Deposited Securities.</w:t>
            </w: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4.11</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Affecting Deposited Securities.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4.12</w:t>
            </w:r>
          </w:p>
        </w:tc>
        <w:tc>
          <w:tcPr>
            <w:tcW w:w="8740" w:type="dxa"/>
            <w:vAlign w:val="bottom"/>
          </w:tcPr>
          <w:p>
            <w:pPr>
              <w:ind w:left="220"/>
              <w:spacing w:after="0"/>
              <w:rPr>
                <w:sz w:val="20"/>
                <w:szCs w:val="20"/>
                <w:color w:val="auto"/>
              </w:rPr>
            </w:pPr>
            <w:r>
              <w:rPr>
                <w:rFonts w:ascii="Arial" w:cs="Arial" w:eastAsia="Arial" w:hAnsi="Arial"/>
                <w:sz w:val="18"/>
                <w:szCs w:val="18"/>
                <w:color w:val="auto"/>
              </w:rPr>
              <w:t>Available Information.</w:t>
            </w: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4.13</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Reports.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Section 4.14</w:t>
            </w:r>
          </w:p>
        </w:tc>
        <w:tc>
          <w:tcPr>
            <w:tcW w:w="8740" w:type="dxa"/>
            <w:vAlign w:val="bottom"/>
          </w:tcPr>
          <w:p>
            <w:pPr>
              <w:ind w:left="220"/>
              <w:spacing w:after="0"/>
              <w:rPr>
                <w:sz w:val="20"/>
                <w:szCs w:val="20"/>
                <w:color w:val="auto"/>
              </w:rPr>
            </w:pPr>
            <w:r>
              <w:rPr>
                <w:rFonts w:ascii="Arial" w:cs="Arial" w:eastAsia="Arial" w:hAnsi="Arial"/>
                <w:sz w:val="18"/>
                <w:szCs w:val="18"/>
                <w:color w:val="auto"/>
              </w:rPr>
              <w:t>List of Holders.</w:t>
            </w: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4.15</w:t>
            </w:r>
          </w:p>
        </w:tc>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Taxation.</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7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ARTICLE V</w:t>
            </w:r>
          </w:p>
        </w:tc>
        <w:tc>
          <w:tcPr>
            <w:tcW w:w="78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2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DEPOSITARY, THE CUSTODIAN AND THE COMPANY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Section 5.1</w:t>
            </w:r>
          </w:p>
        </w:tc>
        <w:tc>
          <w:tcPr>
            <w:tcW w:w="7840" w:type="dxa"/>
            <w:vAlign w:val="bottom"/>
          </w:tcPr>
          <w:p>
            <w:pPr>
              <w:spacing w:after="0"/>
              <w:rPr>
                <w:sz w:val="20"/>
                <w:szCs w:val="20"/>
                <w:color w:val="auto"/>
              </w:rPr>
            </w:pPr>
            <w:r>
              <w:rPr>
                <w:rFonts w:ascii="Arial" w:cs="Arial" w:eastAsia="Arial" w:hAnsi="Arial"/>
                <w:sz w:val="18"/>
                <w:szCs w:val="18"/>
                <w:color w:val="auto"/>
              </w:rPr>
              <w:t>Maintenance of Office and Transfer Books by the Registrar.</w:t>
            </w:r>
          </w:p>
        </w:tc>
        <w:tc>
          <w:tcPr>
            <w:tcW w:w="20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5.2</w:t>
            </w: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Exoneration.</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Section 5.3</w:t>
            </w:r>
          </w:p>
        </w:tc>
        <w:tc>
          <w:tcPr>
            <w:tcW w:w="7840" w:type="dxa"/>
            <w:vAlign w:val="bottom"/>
          </w:tcPr>
          <w:p>
            <w:pPr>
              <w:spacing w:after="0"/>
              <w:rPr>
                <w:sz w:val="20"/>
                <w:szCs w:val="20"/>
                <w:color w:val="auto"/>
              </w:rPr>
            </w:pPr>
            <w:r>
              <w:rPr>
                <w:rFonts w:ascii="Arial" w:cs="Arial" w:eastAsia="Arial" w:hAnsi="Arial"/>
                <w:sz w:val="18"/>
                <w:szCs w:val="18"/>
                <w:color w:val="auto"/>
              </w:rPr>
              <w:t>Standard of Care.</w:t>
            </w: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5.4</w:t>
            </w: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Section 5.5</w:t>
            </w:r>
          </w:p>
        </w:tc>
        <w:tc>
          <w:tcPr>
            <w:tcW w:w="7840" w:type="dxa"/>
            <w:vAlign w:val="bottom"/>
          </w:tcPr>
          <w:p>
            <w:pPr>
              <w:spacing w:after="0"/>
              <w:rPr>
                <w:sz w:val="20"/>
                <w:szCs w:val="20"/>
                <w:color w:val="auto"/>
              </w:rPr>
            </w:pPr>
            <w:r>
              <w:rPr>
                <w:rFonts w:ascii="Arial" w:cs="Arial" w:eastAsia="Arial" w:hAnsi="Arial"/>
                <w:sz w:val="18"/>
                <w:szCs w:val="18"/>
                <w:color w:val="auto"/>
              </w:rPr>
              <w:t>The Custodian.</w:t>
            </w:r>
          </w:p>
        </w:tc>
        <w:tc>
          <w:tcPr>
            <w:tcW w:w="20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5.6</w:t>
            </w: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Notices and Reports.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Section 5.7</w:t>
            </w:r>
          </w:p>
        </w:tc>
        <w:tc>
          <w:tcPr>
            <w:tcW w:w="7840" w:type="dxa"/>
            <w:vAlign w:val="bottom"/>
          </w:tcPr>
          <w:p>
            <w:pPr>
              <w:spacing w:after="0"/>
              <w:rPr>
                <w:sz w:val="20"/>
                <w:szCs w:val="20"/>
                <w:color w:val="auto"/>
              </w:rPr>
            </w:pPr>
            <w:r>
              <w:rPr>
                <w:rFonts w:ascii="Arial" w:cs="Arial" w:eastAsia="Arial" w:hAnsi="Arial"/>
                <w:sz w:val="18"/>
                <w:szCs w:val="18"/>
                <w:color w:val="auto"/>
              </w:rPr>
              <w:t>Issuance of Additional Shares, ADSs etc.</w:t>
            </w:r>
          </w:p>
        </w:tc>
        <w:tc>
          <w:tcPr>
            <w:tcW w:w="20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5.8</w:t>
            </w: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Indemnification.</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Section 5.9</w:t>
            </w:r>
          </w:p>
        </w:tc>
        <w:tc>
          <w:tcPr>
            <w:tcW w:w="7840" w:type="dxa"/>
            <w:vAlign w:val="bottom"/>
          </w:tcPr>
          <w:p>
            <w:pPr>
              <w:spacing w:after="0"/>
              <w:rPr>
                <w:sz w:val="20"/>
                <w:szCs w:val="20"/>
                <w:color w:val="auto"/>
              </w:rPr>
            </w:pPr>
            <w:r>
              <w:rPr>
                <w:rFonts w:ascii="Arial" w:cs="Arial" w:eastAsia="Arial" w:hAnsi="Arial"/>
                <w:sz w:val="18"/>
                <w:szCs w:val="18"/>
                <w:color w:val="auto"/>
              </w:rPr>
              <w:t>Fees and Charges of Depositary.</w:t>
            </w:r>
          </w:p>
        </w:tc>
        <w:tc>
          <w:tcPr>
            <w:tcW w:w="20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5.10</w:t>
            </w: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Pre-Release Transactions.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Section 5.11</w:t>
            </w:r>
          </w:p>
        </w:tc>
        <w:tc>
          <w:tcPr>
            <w:tcW w:w="7840" w:type="dxa"/>
            <w:vAlign w:val="bottom"/>
          </w:tcPr>
          <w:p>
            <w:pPr>
              <w:spacing w:after="0"/>
              <w:rPr>
                <w:sz w:val="20"/>
                <w:szCs w:val="20"/>
                <w:color w:val="auto"/>
              </w:rPr>
            </w:pPr>
            <w:r>
              <w:rPr>
                <w:rFonts w:ascii="Arial" w:cs="Arial" w:eastAsia="Arial" w:hAnsi="Arial"/>
                <w:sz w:val="18"/>
                <w:szCs w:val="18"/>
                <w:color w:val="auto"/>
              </w:rPr>
              <w:t>Restricted Securities Owners.</w:t>
            </w:r>
          </w:p>
        </w:tc>
        <w:tc>
          <w:tcPr>
            <w:tcW w:w="20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ARTICLE VI</w:t>
            </w:r>
          </w:p>
        </w:tc>
        <w:tc>
          <w:tcPr>
            <w:tcW w:w="7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20" w:type="dxa"/>
            <w:vAlign w:val="bottom"/>
            <w:gridSpan w:val="2"/>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AMENDMENT AND TERMINATION</w:t>
            </w:r>
          </w:p>
        </w:tc>
        <w:tc>
          <w:tcPr>
            <w:tcW w:w="20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6.1</w:t>
            </w: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Amendment/Supplement.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Section 6.2</w:t>
            </w:r>
          </w:p>
        </w:tc>
        <w:tc>
          <w:tcPr>
            <w:tcW w:w="7840" w:type="dxa"/>
            <w:vAlign w:val="bottom"/>
          </w:tcPr>
          <w:p>
            <w:pPr>
              <w:spacing w:after="0"/>
              <w:rPr>
                <w:sz w:val="20"/>
                <w:szCs w:val="20"/>
                <w:color w:val="auto"/>
              </w:rPr>
            </w:pPr>
            <w:r>
              <w:rPr>
                <w:rFonts w:ascii="Arial" w:cs="Arial" w:eastAsia="Arial" w:hAnsi="Arial"/>
                <w:sz w:val="18"/>
                <w:szCs w:val="18"/>
                <w:color w:val="auto"/>
              </w:rPr>
              <w:t>Termination.</w:t>
            </w:r>
          </w:p>
        </w:tc>
        <w:tc>
          <w:tcPr>
            <w:tcW w:w="20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ARTICLE VII</w:t>
            </w:r>
          </w:p>
        </w:tc>
        <w:tc>
          <w:tcPr>
            <w:tcW w:w="7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5"/>
              </w:rPr>
              <w:t>MISCELLANEOUS</w:t>
            </w:r>
          </w:p>
        </w:tc>
        <w:tc>
          <w:tcPr>
            <w:tcW w:w="78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7.1</w:t>
            </w: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Counterparts.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Section 7.2</w:t>
            </w:r>
          </w:p>
        </w:tc>
        <w:tc>
          <w:tcPr>
            <w:tcW w:w="7840" w:type="dxa"/>
            <w:vAlign w:val="bottom"/>
          </w:tcPr>
          <w:p>
            <w:pPr>
              <w:spacing w:after="0"/>
              <w:rPr>
                <w:sz w:val="20"/>
                <w:szCs w:val="20"/>
                <w:color w:val="auto"/>
              </w:rPr>
            </w:pPr>
            <w:r>
              <w:rPr>
                <w:rFonts w:ascii="Arial" w:cs="Arial" w:eastAsia="Arial" w:hAnsi="Arial"/>
                <w:sz w:val="18"/>
                <w:szCs w:val="18"/>
                <w:color w:val="auto"/>
              </w:rPr>
              <w:t>No Third Party Beneficiaries.</w:t>
            </w:r>
          </w:p>
        </w:tc>
        <w:tc>
          <w:tcPr>
            <w:tcW w:w="20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7.3</w:t>
            </w: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Severability.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Section 7.4</w:t>
            </w:r>
          </w:p>
        </w:tc>
        <w:tc>
          <w:tcPr>
            <w:tcW w:w="7840" w:type="dxa"/>
            <w:vAlign w:val="bottom"/>
          </w:tcPr>
          <w:p>
            <w:pPr>
              <w:spacing w:after="0"/>
              <w:rPr>
                <w:sz w:val="20"/>
                <w:szCs w:val="20"/>
                <w:color w:val="auto"/>
              </w:rPr>
            </w:pPr>
            <w:r>
              <w:rPr>
                <w:rFonts w:ascii="Arial" w:cs="Arial" w:eastAsia="Arial" w:hAnsi="Arial"/>
                <w:sz w:val="18"/>
                <w:szCs w:val="18"/>
                <w:color w:val="auto"/>
              </w:rPr>
              <w:t>Holders and Beneficial Owners as Parties; Binding Effect.</w:t>
            </w:r>
          </w:p>
        </w:tc>
        <w:tc>
          <w:tcPr>
            <w:tcW w:w="20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7.5</w:t>
            </w: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Notices.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Section 7.6</w:t>
            </w:r>
          </w:p>
        </w:tc>
        <w:tc>
          <w:tcPr>
            <w:tcW w:w="7840" w:type="dxa"/>
            <w:vAlign w:val="bottom"/>
          </w:tcPr>
          <w:p>
            <w:pPr>
              <w:spacing w:after="0"/>
              <w:rPr>
                <w:sz w:val="20"/>
                <w:szCs w:val="20"/>
                <w:color w:val="auto"/>
              </w:rPr>
            </w:pPr>
            <w:r>
              <w:rPr>
                <w:rFonts w:ascii="Arial" w:cs="Arial" w:eastAsia="Arial" w:hAnsi="Arial"/>
                <w:sz w:val="18"/>
                <w:szCs w:val="18"/>
                <w:color w:val="auto"/>
              </w:rPr>
              <w:t>Governing Law and Jurisdiction.</w:t>
            </w:r>
          </w:p>
        </w:tc>
        <w:tc>
          <w:tcPr>
            <w:tcW w:w="20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7.7</w:t>
            </w: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Assignment.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Section 7.8</w:t>
            </w:r>
          </w:p>
        </w:tc>
        <w:tc>
          <w:tcPr>
            <w:tcW w:w="7840" w:type="dxa"/>
            <w:vAlign w:val="bottom"/>
          </w:tcPr>
          <w:p>
            <w:pPr>
              <w:spacing w:after="0"/>
              <w:rPr>
                <w:sz w:val="20"/>
                <w:szCs w:val="20"/>
                <w:color w:val="auto"/>
              </w:rPr>
            </w:pPr>
            <w:r>
              <w:rPr>
                <w:rFonts w:ascii="Arial" w:cs="Arial" w:eastAsia="Arial" w:hAnsi="Arial"/>
                <w:sz w:val="18"/>
                <w:szCs w:val="18"/>
                <w:color w:val="auto"/>
              </w:rPr>
              <w:t>Compliance with U.S. Securities Laws.</w:t>
            </w:r>
          </w:p>
        </w:tc>
        <w:tc>
          <w:tcPr>
            <w:tcW w:w="20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7.9</w:t>
            </w: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Cayman Island Law References.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color w:val="auto"/>
              </w:rPr>
              <w:t>Section 7.10</w:t>
            </w:r>
          </w:p>
        </w:tc>
        <w:tc>
          <w:tcPr>
            <w:tcW w:w="7840" w:type="dxa"/>
            <w:vAlign w:val="bottom"/>
          </w:tcPr>
          <w:p>
            <w:pPr>
              <w:spacing w:after="0"/>
              <w:rPr>
                <w:sz w:val="20"/>
                <w:szCs w:val="20"/>
                <w:color w:val="auto"/>
              </w:rPr>
            </w:pPr>
            <w:r>
              <w:rPr>
                <w:rFonts w:ascii="Arial" w:cs="Arial" w:eastAsia="Arial" w:hAnsi="Arial"/>
                <w:sz w:val="18"/>
                <w:szCs w:val="18"/>
                <w:color w:val="auto"/>
              </w:rPr>
              <w:t>Titles and References.</w:t>
            </w:r>
          </w:p>
        </w:tc>
        <w:tc>
          <w:tcPr>
            <w:tcW w:w="20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EXHIBITS</w:t>
            </w:r>
          </w:p>
        </w:tc>
        <w:tc>
          <w:tcPr>
            <w:tcW w:w="7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Form of ADR.</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Fee Schedule.</w:t>
            </w:r>
          </w:p>
        </w:tc>
        <w:tc>
          <w:tcPr>
            <w:tcW w:w="2080" w:type="dxa"/>
            <w:vAlign w:val="bottom"/>
          </w:tcPr>
          <w:p>
            <w:pPr>
              <w:jc w:val="right"/>
              <w:spacing w:after="0"/>
              <w:rPr>
                <w:sz w:val="20"/>
                <w:szCs w:val="20"/>
                <w:color w:val="auto"/>
              </w:rPr>
            </w:pPr>
            <w:r>
              <w:rPr>
                <w:rFonts w:ascii="Arial" w:cs="Arial" w:eastAsia="Arial" w:hAnsi="Arial"/>
                <w:sz w:val="18"/>
                <w:szCs w:val="18"/>
                <w:color w:val="auto"/>
              </w:rPr>
              <w:t>B-1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22"/>
          <w:szCs w:val="22"/>
          <w:color w:val="auto"/>
        </w:rPr>
        <w:t>Exhibit (d)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PBWT]</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27,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We refer to the Registration Statement on Form F-6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to be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by the legal entity created by the Deposit Agreement (as hereinafter defined) for the purpose of registering under the United States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100,000,000 American Depositary Shares (the “</w:t>
      </w:r>
      <w:r>
        <w:rPr>
          <w:rFonts w:ascii="Arial" w:cs="Arial" w:eastAsia="Arial" w:hAnsi="Arial"/>
          <w:sz w:val="18"/>
          <w:szCs w:val="18"/>
          <w:u w:val="single" w:color="auto"/>
          <w:color w:val="auto"/>
        </w:rPr>
        <w:t>ADSs</w:t>
      </w:r>
      <w:r>
        <w:rPr>
          <w:rFonts w:ascii="Arial" w:cs="Arial" w:eastAsia="Arial" w:hAnsi="Arial"/>
          <w:sz w:val="18"/>
          <w:szCs w:val="18"/>
          <w:color w:val="auto"/>
        </w:rPr>
        <w:t>”) to be issued under the Deposit Agreement, by and among Citibank, N.A., as Depositary, Noah Holdings Limited, a company incorporated under the laws of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and all Holders and Beneficial Owners (each as defined in the Deposit Agreement and hereinafter used as so defined) of ADSs issued thereunder, a draft copy of which is being filed as Exhibit (a) to the Registration Statement (the “</w:t>
      </w:r>
      <w:r>
        <w:rPr>
          <w:rFonts w:ascii="Arial" w:cs="Arial" w:eastAsia="Arial" w:hAnsi="Arial"/>
          <w:sz w:val="18"/>
          <w:szCs w:val="18"/>
          <w:u w:val="single" w:color="auto"/>
          <w:color w:val="auto"/>
        </w:rPr>
        <w:t>Deposit Agreement</w:t>
      </w:r>
      <w:r>
        <w:rPr>
          <w:rFonts w:ascii="Arial" w:cs="Arial" w:eastAsia="Arial" w:hAnsi="Arial"/>
          <w:sz w:val="18"/>
          <w:szCs w:val="18"/>
          <w:color w:val="auto"/>
        </w:rPr>
        <w:t>”). Each two (2) ADSs will represent, subject to the terms and conditions of the Deposit Agreement and, if applicable, the American Depositary Receipt(s) (“</w:t>
      </w:r>
      <w:r>
        <w:rPr>
          <w:rFonts w:ascii="Arial" w:cs="Arial" w:eastAsia="Arial" w:hAnsi="Arial"/>
          <w:sz w:val="18"/>
          <w:szCs w:val="18"/>
          <w:u w:val="single" w:color="auto"/>
          <w:color w:val="auto"/>
        </w:rPr>
        <w:t>ADR(s)</w:t>
      </w:r>
      <w:r>
        <w:rPr>
          <w:rFonts w:ascii="Arial" w:cs="Arial" w:eastAsia="Arial" w:hAnsi="Arial"/>
          <w:sz w:val="18"/>
          <w:szCs w:val="18"/>
          <w:color w:val="auto"/>
        </w:rPr>
        <w:t>”) evidencing such ADS, the right to receive one (1) ordinary share of the Company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19"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Nothing contained herein or in any document referred to herein is intended by this firm to be used, and the addressees hereof cannot use anything contained herein or in any document referred to herein, as “tax advice” (within the meaning given to such term by the United States Internal Revenue Service (“</w:t>
      </w:r>
      <w:r>
        <w:rPr>
          <w:rFonts w:ascii="Arial" w:cs="Arial" w:eastAsia="Arial" w:hAnsi="Arial"/>
          <w:sz w:val="17"/>
          <w:szCs w:val="17"/>
          <w:u w:val="single" w:color="auto"/>
          <w:color w:val="auto"/>
        </w:rPr>
        <w:t>IRS</w:t>
      </w:r>
      <w:r>
        <w:rPr>
          <w:rFonts w:ascii="Arial" w:cs="Arial" w:eastAsia="Arial" w:hAnsi="Arial"/>
          <w:sz w:val="17"/>
          <w:szCs w:val="17"/>
          <w:color w:val="auto"/>
        </w:rPr>
        <w:t>”) in IRS Circular 230 and any related interpretative advice issued by the IRS in respect of IRS Circular 230 prior to the date hereof, and hereinafter used within such meaning and interpretative advice). Without admitting that anything contained herein or in any document referred to herein constitutes “tax advice” for any purpose, notice is hereby given that, to the extent anything contained herein or in any document referre d to herein constitutes, or is or may be interpreted by any court, by the IRS or by any other administrative body to constitute, “tax advice,” such “tax advice” is not intended or written to be used, and cannot be used, for the purpose of (i) avoiding penalties under the United States Internal Revenue Code of 1986, as amended, or (ii) promoting, marketing or recommending to any party any transaction or matter addressed herein.</w:t>
      </w:r>
    </w:p>
    <w:p>
      <w:pPr>
        <w:spacing w:after="0" w:line="206"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Assuming that, at the time of their issuance, the Registration Statement will have been declared effective by the SEC, the Deposit Agreement will have been duly executed and delivered, and the Shares will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8" w:name="page89"/>
    <w:bookmarkEnd w:id="88"/>
    <w:p>
      <w:pPr>
        <w:ind w:firstLine="1297"/>
        <w:spacing w:after="0" w:line="264" w:lineRule="auto"/>
        <w:rPr>
          <w:sz w:val="20"/>
          <w:szCs w:val="20"/>
          <w:color w:val="auto"/>
        </w:rPr>
      </w:pPr>
      <w:r>
        <w:rPr>
          <w:rFonts w:ascii="Arial" w:cs="Arial" w:eastAsia="Arial" w:hAnsi="Arial"/>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200" w:lineRule="exact"/>
        <w:rPr>
          <w:sz w:val="20"/>
          <w:szCs w:val="20"/>
          <w:color w:val="auto"/>
        </w:rPr>
      </w:pP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PATTERSON BELKNAP WEBB &amp; TYLER </w:t>
      </w:r>
      <w:r>
        <w:rPr>
          <w:rFonts w:ascii="Arial" w:cs="Arial" w:eastAsia="Arial" w:hAnsi="Arial"/>
          <w:sz w:val="12"/>
          <w:szCs w:val="12"/>
          <w:b w:val="1"/>
          <w:bCs w:val="1"/>
          <w:color w:val="auto"/>
        </w:rPr>
        <w:t>LLP</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Herman H. Raspé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 Member of the Firm</w:t>
      </w:r>
    </w:p>
    <w:sectPr>
      <w:pgSz w:w="11900" w:h="16838" w:orient="portrait"/>
      <w:cols w:equalWidth="0" w:num="1">
        <w:col w:w="11400"/>
      </w:cols>
      <w:pgMar w:left="240" w:top="5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lvl w:ilvl="1">
      <w:lvlJc w:val="left"/>
      <w:lvlText w:val="(%2)"/>
      <w:numFmt w:val="lowerRoman"/>
      <w:start w:val="1"/>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lowerLetter"/>
      <w:start w:val="1"/>
    </w:lvl>
    <w:lvl w:ilvl="1">
      <w:lvlJc w:val="left"/>
      <w:lvlText w:val="(%2)"/>
      <w:numFmt w:val="lowerLetter"/>
      <w:start w:val="2"/>
    </w:lvl>
  </w:abstractNum>
  <w:abstractNum w:abstractNumId="7">
    <w:nsid w:val="2901D82"/>
    <w:multiLevelType w:val="hybridMultilevel"/>
    <w:lvl w:ilvl="0">
      <w:lvlJc w:val="left"/>
      <w:lvlText w:val="(%1)"/>
      <w:numFmt w:val="lowerLetter"/>
      <w:start w:val="35"/>
    </w:lvl>
    <w:lvl w:ilvl="1">
      <w:lvlJc w:val="left"/>
      <w:lvlText w:val="(%2)"/>
      <w:numFmt w:val="lowerLetter"/>
      <w:start w:val="3"/>
    </w:lvl>
  </w:abstractNum>
  <w:abstractNum w:abstractNumId="8">
    <w:nsid w:val="3A95F874"/>
    <w:multiLevelType w:val="hybridMultilevel"/>
    <w:lvl w:ilvl="0">
      <w:lvlJc w:val="left"/>
      <w:lvlText w:val="(%1)"/>
      <w:numFmt w:val="upperLetter"/>
      <w:start w:val="4"/>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1"/>
    </w:lvl>
    <w:lvl w:ilvl="1">
      <w:lvlJc w:val="left"/>
      <w:lvlText w:val="(%2)"/>
      <w:numFmt w:val="lowerLetter"/>
      <w:start w:val="1"/>
    </w:lvl>
  </w:abstractNum>
  <w:abstractNum w:abstractNumId="11">
    <w:nsid w:val="7C3DBD3D"/>
    <w:multiLevelType w:val="hybridMultilevel"/>
    <w:lvl w:ilvl="0">
      <w:lvlJc w:val="left"/>
      <w:lvlText w:val="(%1)"/>
      <w:numFmt w:val="lowerLetter"/>
      <w:start w:val="9"/>
    </w:lvl>
    <w:lvl w:ilvl="1">
      <w:lvlJc w:val="left"/>
      <w:lvlText w:val="(%2)"/>
      <w:numFmt w:val="lowerLetter"/>
      <w:start w:val="2"/>
    </w:lvl>
  </w:abstractNum>
  <w:abstractNum w:abstractNumId="12">
    <w:nsid w:val="737B8DDC"/>
    <w:multiLevelType w:val="hybridMultilevel"/>
    <w:lvl w:ilvl="0">
      <w:lvlJc w:val="left"/>
      <w:lvlText w:val="%1"/>
      <w:numFmt w:val="lowerLetter"/>
      <w:start w:val="1"/>
    </w:lvl>
    <w:lvl w:ilvl="1">
      <w:lvlJc w:val="left"/>
      <w:lvlText w:val="(%2)"/>
      <w:numFmt w:val="lowerLetter"/>
      <w:start w:val="3"/>
    </w:lvl>
  </w:abstractNum>
  <w:abstractNum w:abstractNumId="13">
    <w:nsid w:val="6CEAF087"/>
    <w:multiLevelType w:val="hybridMultilevel"/>
    <w:lvl w:ilvl="0">
      <w:lvlJc w:val="left"/>
      <w:lvlText w:val="(%1)"/>
      <w:numFmt w:val="lowerLetter"/>
      <w:start w:val="35"/>
    </w:lvl>
    <w:lvl w:ilvl="1">
      <w:lvlJc w:val="left"/>
      <w:lvlText w:val="%2"/>
      <w:numFmt w:val="lowerLetter"/>
      <w:start w:val="1"/>
    </w:lvl>
  </w:abstractNum>
  <w:abstractNum w:abstractNumId="14">
    <w:nsid w:val="22221A70"/>
    <w:multiLevelType w:val="hybridMultilevel"/>
    <w:lvl w:ilvl="0">
      <w:lvlJc w:val="left"/>
      <w:lvlText w:val="(%1)"/>
      <w:numFmt w:val="lowerLetter"/>
      <w:start w:val="2"/>
    </w:lvl>
  </w:abstractNum>
  <w:abstractNum w:abstractNumId="15">
    <w:nsid w:val="4516DDE9"/>
    <w:multiLevelType w:val="hybridMultilevel"/>
    <w:lvl w:ilvl="0">
      <w:lvlJc w:val="left"/>
      <w:lvlText w:val="(%1)"/>
      <w:numFmt w:val="lowerLetter"/>
      <w:start w:val="4"/>
    </w:lvl>
  </w:abstractNum>
  <w:abstractNum w:abstractNumId="16">
    <w:nsid w:val="3006C83E"/>
    <w:multiLevelType w:val="hybridMultilevel"/>
    <w:lvl w:ilvl="0">
      <w:lvlJc w:val="left"/>
      <w:lvlText w:val="(%1)"/>
      <w:numFmt w:val="lowerRoman"/>
      <w:start w:val="2"/>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3"/>
    </w:lvl>
  </w:abstractNum>
  <w:abstractNum w:abstractNumId="19">
    <w:nsid w:val="5577F8E1"/>
    <w:multiLevelType w:val="hybridMultilevel"/>
    <w:lvl w:ilvl="0">
      <w:lvlJc w:val="left"/>
      <w:lvlText w:val="%1"/>
      <w:numFmt w:val="lowerLetter"/>
      <w:start w:val="1"/>
    </w:lvl>
    <w:lvl w:ilvl="1">
      <w:lvlJc w:val="left"/>
      <w:lvlText w:val="(%2)"/>
      <w:numFmt w:val="lowerLetter"/>
      <w:start w:val="1"/>
    </w:lvl>
  </w:abstractNum>
  <w:abstractNum w:abstractNumId="20">
    <w:nsid w:val="440BADFC"/>
    <w:multiLevelType w:val="hybridMultilevel"/>
    <w:lvl w:ilvl="0">
      <w:lvlJc w:val="left"/>
      <w:lvlText w:val="(%1)"/>
      <w:numFmt w:val="lowerLetter"/>
      <w:start w:val="9"/>
    </w:lvl>
    <w:lvl w:ilvl="1">
      <w:lvlJc w:val="left"/>
      <w:lvlText w:val="(%2)"/>
      <w:numFmt w:val="lowerLetter"/>
      <w:start w:val="3"/>
    </w:lvl>
  </w:abstractNum>
  <w:abstractNum w:abstractNumId="21">
    <w:nsid w:val="5072367"/>
    <w:multiLevelType w:val="hybridMultilevel"/>
    <w:lvl w:ilvl="0">
      <w:lvlJc w:val="left"/>
      <w:lvlText w:val="(%1)"/>
      <w:numFmt w:val="lowerRoman"/>
      <w:start w:val="1"/>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2"/>
    </w:lvl>
  </w:abstractNum>
  <w:abstractNum w:abstractNumId="26">
    <w:nsid w:val="2463B9EA"/>
    <w:multiLevelType w:val="hybridMultilevel"/>
    <w:lvl w:ilvl="0">
      <w:lvlJc w:val="left"/>
      <w:lvlText w:val="(%1)"/>
      <w:numFmt w:val="decimal"/>
      <w:start w:val="3"/>
    </w:lvl>
  </w:abstractNum>
  <w:abstractNum w:abstractNumId="27">
    <w:nsid w:val="5E884ADC"/>
    <w:multiLevelType w:val="hybridMultilevel"/>
    <w:lvl w:ilvl="0">
      <w:lvlJc w:val="left"/>
      <w:lvlText w:val="(%1)"/>
      <w:numFmt w:val="decimal"/>
      <w:start w:val="4"/>
    </w:lvl>
  </w:abstractNum>
  <w:abstractNum w:abstractNumId="28">
    <w:nsid w:val="51EAD36B"/>
    <w:multiLevelType w:val="hybridMultilevel"/>
    <w:lvl w:ilvl="0">
      <w:lvlJc w:val="left"/>
      <w:lvlText w:val="(%1)"/>
      <w:numFmt w:val="decimal"/>
      <w:start w:val="5"/>
    </w:lvl>
  </w:abstractNum>
  <w:abstractNum w:abstractNumId="29">
    <w:nsid w:val="2D517796"/>
    <w:multiLevelType w:val="hybridMultilevel"/>
    <w:lvl w:ilvl="0">
      <w:lvlJc w:val="left"/>
      <w:lvlText w:val="(%1)"/>
      <w:numFmt w:val="decimal"/>
      <w:start w:val="6"/>
    </w:lvl>
  </w:abstractNum>
  <w:abstractNum w:abstractNumId="30">
    <w:nsid w:val="580BD78F"/>
    <w:multiLevelType w:val="hybridMultilevel"/>
    <w:lvl w:ilvl="0">
      <w:lvlJc w:val="left"/>
      <w:lvlText w:val="(%1)"/>
      <w:numFmt w:val="decimal"/>
      <w:start w:val="7"/>
    </w:lvl>
  </w:abstractNum>
  <w:abstractNum w:abstractNumId="31">
    <w:nsid w:val="153EA438"/>
    <w:multiLevelType w:val="hybridMultilevel"/>
    <w:lvl w:ilvl="0">
      <w:lvlJc w:val="left"/>
      <w:lvlText w:val="(%1)"/>
      <w:numFmt w:val="decimal"/>
      <w:start w:val="8"/>
    </w:lvl>
  </w:abstractNum>
  <w:abstractNum w:abstractNumId="32">
    <w:nsid w:val="3855585C"/>
    <w:multiLevelType w:val="hybridMultilevel"/>
    <w:lvl w:ilvl="0">
      <w:lvlJc w:val="left"/>
      <w:lvlText w:val="(%1)"/>
      <w:numFmt w:val="decimal"/>
      <w:start w:val="10"/>
    </w:lvl>
    <w:lvl w:ilvl="1">
      <w:lvlJc w:val="left"/>
      <w:lvlText w:val="(%2)"/>
      <w:numFmt w:val="lowerRoman"/>
      <w:start w:val="1"/>
    </w:lvl>
  </w:abstractNum>
  <w:abstractNum w:abstractNumId="33">
    <w:nsid w:val="70A64E2A"/>
    <w:multiLevelType w:val="hybridMultilevel"/>
    <w:lvl w:ilvl="0">
      <w:lvlJc w:val="left"/>
      <w:lvlText w:val="(%1)"/>
      <w:numFmt w:val="lowerRoman"/>
      <w:start w:val="1"/>
    </w:lvl>
  </w:abstractNum>
  <w:abstractNum w:abstractNumId="34">
    <w:nsid w:val="6A2342EC"/>
    <w:multiLevelType w:val="hybridMultilevel"/>
    <w:lvl w:ilvl="0">
      <w:lvlJc w:val="left"/>
      <w:lvlText w:val="(%1)"/>
      <w:numFmt w:val="lowerRoman"/>
      <w:start w:val="4"/>
    </w:lvl>
  </w:abstractNum>
  <w:abstractNum w:abstractNumId="35">
    <w:nsid w:val="2A487CB0"/>
    <w:multiLevelType w:val="hybridMultilevel"/>
    <w:lvl w:ilvl="0">
      <w:lvlJc w:val="left"/>
      <w:lvlText w:val="(%1)"/>
      <w:numFmt w:val="decimal"/>
      <w:start w:val="11"/>
    </w:lvl>
  </w:abstractNum>
  <w:abstractNum w:abstractNumId="36">
    <w:nsid w:val="1D4ED43B"/>
    <w:multiLevelType w:val="hybridMultilevel"/>
    <w:lvl w:ilvl="0">
      <w:lvlJc w:val="left"/>
      <w:lvlText w:val="(%1)"/>
      <w:numFmt w:val="decimal"/>
      <w:start w:val="14"/>
    </w:lvl>
  </w:abstractNum>
  <w:abstractNum w:abstractNumId="37">
    <w:nsid w:val="725A06FB"/>
    <w:multiLevelType w:val="hybridMultilevel"/>
    <w:lvl w:ilvl="0">
      <w:lvlJc w:val="left"/>
      <w:lvlText w:val="(%1)"/>
      <w:numFmt w:val="lowerRoman"/>
      <w:start w:val="1"/>
    </w:lvl>
  </w:abstractNum>
  <w:abstractNum w:abstractNumId="38">
    <w:nsid w:val="2CD89A32"/>
    <w:multiLevelType w:val="hybridMultilevel"/>
    <w:lvl w:ilvl="0">
      <w:lvlJc w:val="left"/>
      <w:lvlText w:val="(%1)"/>
      <w:numFmt w:val="lowerLetter"/>
      <w:start w:val="2"/>
    </w:lvl>
  </w:abstractNum>
  <w:abstractNum w:abstractNumId="39">
    <w:nsid w:val="57E4CCAF"/>
    <w:multiLevelType w:val="hybridMultilevel"/>
    <w:lvl w:ilvl="0">
      <w:lvlJc w:val="left"/>
      <w:lvlText w:val="(%1)"/>
      <w:numFmt w:val="decimal"/>
      <w:start w:val="15"/>
    </w:lvl>
  </w:abstractNum>
  <w:abstractNum w:abstractNumId="40">
    <w:nsid w:val="7A6D8D3C"/>
    <w:multiLevelType w:val="hybridMultilevel"/>
    <w:lvl w:ilvl="0">
      <w:lvlJc w:val="left"/>
      <w:lvlText w:val="(%1)"/>
      <w:numFmt w:val="decimal"/>
      <w:start w:val="17"/>
    </w:lvl>
  </w:abstractNum>
  <w:abstractNum w:abstractNumId="41">
    <w:nsid w:val="4B588F54"/>
    <w:multiLevelType w:val="hybridMultilevel"/>
    <w:lvl w:ilvl="0">
      <w:lvlJc w:val="left"/>
      <w:lvlText w:val="(%1)"/>
      <w:numFmt w:val="decimal"/>
      <w:start w:val="18"/>
    </w:lvl>
  </w:abstractNum>
  <w:abstractNum w:abstractNumId="42">
    <w:nsid w:val="542289EC"/>
    <w:multiLevelType w:val="hybridMultilevel"/>
    <w:lvl w:ilvl="0">
      <w:lvlJc w:val="left"/>
      <w:lvlText w:val="(%1)"/>
      <w:numFmt w:val="decimal"/>
      <w:start w:val="20"/>
    </w:lvl>
  </w:abstractNum>
  <w:abstractNum w:abstractNumId="43">
    <w:nsid w:val="6DE91B18"/>
    <w:multiLevelType w:val="hybridMultilevel"/>
    <w:lvl w:ilvl="0">
      <w:lvlJc w:val="left"/>
      <w:lvlText w:val="%1"/>
      <w:numFmt w:val="lowerRoman"/>
      <w:start w:val="1"/>
    </w:lvl>
    <w:lvl w:ilvl="1">
      <w:lvlJc w:val="left"/>
      <w:lvlText w:val="(%2)"/>
      <w:numFmt w:val="decimal"/>
      <w:start w:val="21"/>
    </w:lvl>
  </w:abstractNum>
  <w:abstractNum w:abstractNumId="44">
    <w:nsid w:val="38437FDB"/>
    <w:multiLevelType w:val="hybridMultilevel"/>
    <w:lvl w:ilvl="0">
      <w:lvlJc w:val="left"/>
      <w:lvlText w:val="(%1)"/>
      <w:numFmt w:val="lowerRoman"/>
      <w:start w:val="1"/>
    </w:lvl>
    <w:lvl w:ilvl="1">
      <w:lvlJc w:val="left"/>
      <w:lvlText w:val="(%2)"/>
      <w:numFmt w:val="decimal"/>
      <w:start w:val="22"/>
    </w:lvl>
  </w:abstractNum>
  <w:abstractNum w:abstractNumId="45">
    <w:nsid w:val="7644A45C"/>
    <w:multiLevelType w:val="hybridMultilevel"/>
    <w:lvl w:ilvl="0">
      <w:lvlJc w:val="left"/>
      <w:lvlText w:val="(%1)"/>
      <w:numFmt w:val="decimal"/>
      <w:start w:val="23"/>
    </w:lvl>
  </w:abstractNum>
  <w:abstractNum w:abstractNumId="46">
    <w:nsid w:val="32FFF902"/>
    <w:multiLevelType w:val="hybridMultilevel"/>
    <w:lvl w:ilvl="0">
      <w:lvlJc w:val="left"/>
      <w:lvlText w:val="(%1)"/>
      <w:numFmt w:val="decimal"/>
      <w:start w:val="24"/>
    </w:lvl>
  </w:abstractNum>
  <w:abstractNum w:abstractNumId="47">
    <w:nsid w:val="684A481A"/>
    <w:multiLevelType w:val="hybridMultilevel"/>
    <w:lvl w:ilvl="0">
      <w:lvlJc w:val="left"/>
      <w:lvlText w:val="%1."/>
      <w:numFmt w:val="upperLetter"/>
      <w:start w:val="9"/>
    </w:lvl>
  </w:abstractNum>
  <w:abstractNum w:abstractNumId="48">
    <w:nsid w:val="579478FE"/>
    <w:multiLevelType w:val="hybridMultilevel"/>
    <w:lvl w:ilvl="0">
      <w:lvlJc w:val="left"/>
      <w:lvlText w:val="%1."/>
      <w:numFmt w:val="upperLetter"/>
      <w:start w:val="35"/>
    </w:lvl>
  </w:abstractNum>
  <w:abstractNum w:abstractNumId="49">
    <w:nsid w:val="749ABB4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2019-12-11T08:30:28Z</dcterms:created>
  <dcterms:modified xsi:type="dcterms:W3CDTF">2019-12-11T08:30:28Z</dcterms:modified>
</cp:coreProperties>
</file>